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9896" w14:textId="4F0A191D" w:rsidR="00AB6011" w:rsidRPr="00AB6011" w:rsidRDefault="00AB6011" w:rsidP="00AB6011">
      <w:pPr>
        <w:widowControl/>
        <w:pBdr>
          <w:top w:val="nil"/>
          <w:left w:val="nil"/>
          <w:bottom w:val="nil"/>
          <w:right w:val="nil"/>
          <w:between w:val="nil"/>
        </w:pBdr>
        <w:spacing w:line="276" w:lineRule="auto"/>
        <w:jc w:val="center"/>
        <w:rPr>
          <w:rFonts w:ascii="Arial" w:eastAsia="Arial" w:hAnsi="Arial" w:cs="Arial"/>
          <w:color w:val="000000"/>
          <w:sz w:val="32"/>
          <w:szCs w:val="32"/>
        </w:rPr>
      </w:pPr>
      <w:r w:rsidRPr="00AB6011">
        <w:rPr>
          <w:rFonts w:ascii="Arial" w:eastAsia="Arial" w:hAnsi="Arial" w:cs="Arial"/>
          <w:b/>
          <w:color w:val="381165"/>
          <w:sz w:val="32"/>
          <w:szCs w:val="32"/>
        </w:rPr>
        <w:t>PHILIPPINE SUB-TEAM LINE-ITEM BUDGET</w:t>
      </w:r>
    </w:p>
    <w:p w14:paraId="1ED25C74" w14:textId="77777777" w:rsidR="00AB6011" w:rsidRDefault="00AB6011" w:rsidP="00AB6011">
      <w:pPr>
        <w:widowControl/>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(Complete </w:t>
      </w:r>
      <w:r>
        <w:rPr>
          <w:rFonts w:ascii="Arial" w:eastAsia="Arial" w:hAnsi="Arial" w:cs="Arial"/>
          <w:b/>
          <w:i/>
          <w:color w:val="000000"/>
          <w:sz w:val="20"/>
          <w:szCs w:val="20"/>
        </w:rPr>
        <w:t>one for each</w:t>
      </w:r>
      <w:r>
        <w:rPr>
          <w:rFonts w:ascii="Arial" w:eastAsia="Arial" w:hAnsi="Arial" w:cs="Arial"/>
          <w:i/>
          <w:color w:val="000000"/>
          <w:sz w:val="20"/>
          <w:szCs w:val="20"/>
        </w:rPr>
        <w:t xml:space="preserve"> Philippine institute involved. Please refer to Section VII. </w:t>
      </w:r>
    </w:p>
    <w:p w14:paraId="07319D32" w14:textId="77777777" w:rsidR="00AB6011" w:rsidRDefault="00AB6011" w:rsidP="00AB6011">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Convert all amounts to PHP. Add and delete rows if necessary)</w:t>
      </w:r>
    </w:p>
    <w:p w14:paraId="1568437C" w14:textId="77777777" w:rsidR="00AB6011" w:rsidRDefault="00AB6011" w:rsidP="00AB6011">
      <w:pPr>
        <w:spacing w:line="276" w:lineRule="auto"/>
        <w:rPr>
          <w:rFonts w:ascii="Arial" w:eastAsia="Arial" w:hAnsi="Arial" w:cs="Arial"/>
        </w:rPr>
      </w:pPr>
    </w:p>
    <w:tbl>
      <w:tblPr>
        <w:tblW w:w="9737" w:type="dxa"/>
        <w:tblLayout w:type="fixed"/>
        <w:tblLook w:val="0400" w:firstRow="0" w:lastRow="0" w:firstColumn="0" w:lastColumn="0" w:noHBand="0" w:noVBand="1"/>
      </w:tblPr>
      <w:tblGrid>
        <w:gridCol w:w="2472"/>
        <w:gridCol w:w="4387"/>
        <w:gridCol w:w="2878"/>
      </w:tblGrid>
      <w:tr w:rsidR="00AB6011" w14:paraId="1EA77022" w14:textId="77777777" w:rsidTr="00667929">
        <w:trPr>
          <w:trHeight w:val="1131"/>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BF1A7FD"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noProof/>
                <w:color w:val="000000"/>
                <w:sz w:val="20"/>
                <w:szCs w:val="20"/>
              </w:rPr>
              <w:drawing>
                <wp:inline distT="0" distB="0" distL="0" distR="0" wp14:anchorId="67E451C7" wp14:editId="3D223B86">
                  <wp:extent cx="628650" cy="619125"/>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628650" cy="619125"/>
                          </a:xfrm>
                          <a:prstGeom prst="rect">
                            <a:avLst/>
                          </a:prstGeom>
                          <a:ln/>
                        </pic:spPr>
                      </pic:pic>
                    </a:graphicData>
                  </a:graphic>
                </wp:inline>
              </w:drawing>
            </w:r>
          </w:p>
        </w:tc>
        <w:tc>
          <w:tcPr>
            <w:tcW w:w="4387" w:type="dxa"/>
            <w:tcBorders>
              <w:top w:val="single" w:sz="4" w:space="0" w:color="000000"/>
              <w:bottom w:val="single" w:sz="4" w:space="0" w:color="000000"/>
            </w:tcBorders>
            <w:tcMar>
              <w:top w:w="72" w:type="dxa"/>
              <w:left w:w="115" w:type="dxa"/>
              <w:bottom w:w="72" w:type="dxa"/>
              <w:right w:w="115" w:type="dxa"/>
            </w:tcMar>
            <w:vAlign w:val="center"/>
          </w:tcPr>
          <w:p w14:paraId="60C67ABC"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noProof/>
                <w:color w:val="000000"/>
                <w:sz w:val="20"/>
                <w:szCs w:val="20"/>
              </w:rPr>
              <w:drawing>
                <wp:inline distT="0" distB="0" distL="0" distR="0" wp14:anchorId="655263A9" wp14:editId="24C63E63">
                  <wp:extent cx="2343150" cy="733425"/>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43150" cy="733425"/>
                          </a:xfrm>
                          <a:prstGeom prst="rect">
                            <a:avLst/>
                          </a:prstGeom>
                          <a:ln/>
                        </pic:spPr>
                      </pic:pic>
                    </a:graphicData>
                  </a:graphic>
                </wp:inline>
              </w:drawing>
            </w:r>
          </w:p>
        </w:tc>
        <w:tc>
          <w:tcPr>
            <w:tcW w:w="2878" w:type="dxa"/>
            <w:tcBorders>
              <w:top w:val="single" w:sz="4" w:space="0" w:color="000000"/>
              <w:bottom w:val="single" w:sz="4" w:space="0" w:color="000000"/>
              <w:right w:val="single" w:sz="4" w:space="0" w:color="000000"/>
            </w:tcBorders>
            <w:tcMar>
              <w:top w:w="72" w:type="dxa"/>
              <w:left w:w="115" w:type="dxa"/>
              <w:bottom w:w="72" w:type="dxa"/>
              <w:right w:w="115" w:type="dxa"/>
            </w:tcMar>
            <w:vAlign w:val="center"/>
          </w:tcPr>
          <w:p w14:paraId="395F78BB"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noProof/>
                <w:color w:val="000000"/>
                <w:sz w:val="20"/>
                <w:szCs w:val="20"/>
              </w:rPr>
              <w:drawing>
                <wp:inline distT="0" distB="0" distL="0" distR="0" wp14:anchorId="64541655" wp14:editId="08E9A7D4">
                  <wp:extent cx="1485900" cy="36195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85900" cy="361950"/>
                          </a:xfrm>
                          <a:prstGeom prst="rect">
                            <a:avLst/>
                          </a:prstGeom>
                          <a:ln/>
                        </pic:spPr>
                      </pic:pic>
                    </a:graphicData>
                  </a:graphic>
                </wp:inline>
              </w:drawing>
            </w:r>
          </w:p>
        </w:tc>
      </w:tr>
      <w:tr w:rsidR="00AB6011" w14:paraId="74CF4DC8" w14:textId="77777777" w:rsidTr="00667929">
        <w:trPr>
          <w:trHeight w:val="232"/>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88585CC"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Program Title:</w:t>
            </w:r>
          </w:p>
        </w:tc>
        <w:tc>
          <w:tcPr>
            <w:tcW w:w="7265"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56A947C" w14:textId="77777777" w:rsidR="00AB6011" w:rsidRDefault="00AB6011" w:rsidP="00667929">
            <w:pPr>
              <w:spacing w:line="276" w:lineRule="auto"/>
              <w:rPr>
                <w:rFonts w:ascii="Arial" w:eastAsia="Arial" w:hAnsi="Arial" w:cs="Arial"/>
              </w:rPr>
            </w:pPr>
          </w:p>
        </w:tc>
      </w:tr>
      <w:tr w:rsidR="00AB6011" w14:paraId="331AEAB3" w14:textId="77777777" w:rsidTr="00667929">
        <w:trPr>
          <w:trHeight w:val="217"/>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FE7F1B5"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Project Title:</w:t>
            </w:r>
          </w:p>
        </w:tc>
        <w:tc>
          <w:tcPr>
            <w:tcW w:w="7265"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03096EE" w14:textId="77777777" w:rsidR="00AB6011" w:rsidRDefault="00AB6011" w:rsidP="00667929">
            <w:pPr>
              <w:spacing w:line="276" w:lineRule="auto"/>
              <w:rPr>
                <w:rFonts w:ascii="Arial" w:eastAsia="Arial" w:hAnsi="Arial" w:cs="Arial"/>
              </w:rPr>
            </w:pPr>
          </w:p>
        </w:tc>
      </w:tr>
      <w:tr w:rsidR="00AB6011" w14:paraId="6210BF3B" w14:textId="77777777" w:rsidTr="00667929">
        <w:trPr>
          <w:trHeight w:val="232"/>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AAA9E6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Project Leader:</w:t>
            </w:r>
          </w:p>
        </w:tc>
        <w:tc>
          <w:tcPr>
            <w:tcW w:w="7265"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E8AE8C5" w14:textId="77777777" w:rsidR="00AB6011" w:rsidRDefault="00AB6011" w:rsidP="00667929">
            <w:pPr>
              <w:spacing w:line="276" w:lineRule="auto"/>
              <w:rPr>
                <w:rFonts w:ascii="Arial" w:eastAsia="Arial" w:hAnsi="Arial" w:cs="Arial"/>
              </w:rPr>
            </w:pPr>
          </w:p>
        </w:tc>
      </w:tr>
      <w:tr w:rsidR="00AB6011" w14:paraId="2513CB01" w14:textId="77777777" w:rsidTr="00667929">
        <w:trPr>
          <w:trHeight w:val="232"/>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7852967"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Implementing Agency:</w:t>
            </w:r>
          </w:p>
        </w:tc>
        <w:tc>
          <w:tcPr>
            <w:tcW w:w="7265"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A922EA3" w14:textId="77777777" w:rsidR="00AB6011" w:rsidRDefault="00AB6011" w:rsidP="00667929">
            <w:pPr>
              <w:spacing w:line="276" w:lineRule="auto"/>
              <w:rPr>
                <w:rFonts w:ascii="Arial" w:eastAsia="Arial" w:hAnsi="Arial" w:cs="Arial"/>
              </w:rPr>
            </w:pPr>
          </w:p>
        </w:tc>
      </w:tr>
      <w:tr w:rsidR="00AB6011" w14:paraId="4CACD56D" w14:textId="77777777" w:rsidTr="00667929">
        <w:trPr>
          <w:trHeight w:val="217"/>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35FAA27"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Total Duration:</w:t>
            </w:r>
          </w:p>
        </w:tc>
        <w:tc>
          <w:tcPr>
            <w:tcW w:w="7265"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80F43E8" w14:textId="77777777" w:rsidR="00AB6011" w:rsidRDefault="00AB6011" w:rsidP="00667929">
            <w:pPr>
              <w:spacing w:line="276" w:lineRule="auto"/>
              <w:rPr>
                <w:rFonts w:ascii="Arial" w:eastAsia="Arial" w:hAnsi="Arial" w:cs="Arial"/>
              </w:rPr>
            </w:pPr>
          </w:p>
        </w:tc>
      </w:tr>
      <w:tr w:rsidR="00AB6011" w14:paraId="7E82B76F" w14:textId="77777777" w:rsidTr="00667929">
        <w:trPr>
          <w:trHeight w:val="246"/>
        </w:trPr>
        <w:tc>
          <w:tcPr>
            <w:tcW w:w="24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D848EA4"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Current Year:</w:t>
            </w:r>
          </w:p>
        </w:tc>
        <w:tc>
          <w:tcPr>
            <w:tcW w:w="7265"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160ED78" w14:textId="77777777" w:rsidR="00AB6011" w:rsidRDefault="00AB6011" w:rsidP="00667929">
            <w:pPr>
              <w:spacing w:line="276" w:lineRule="auto"/>
              <w:rPr>
                <w:rFonts w:ascii="Arial" w:eastAsia="Arial" w:hAnsi="Arial" w:cs="Arial"/>
              </w:rPr>
            </w:pPr>
          </w:p>
        </w:tc>
      </w:tr>
    </w:tbl>
    <w:p w14:paraId="77C408EB" w14:textId="77777777" w:rsidR="00AB6011" w:rsidRDefault="00AB6011" w:rsidP="00AB6011">
      <w:pPr>
        <w:spacing w:line="276" w:lineRule="auto"/>
        <w:rPr>
          <w:rFonts w:ascii="Arial" w:eastAsia="Arial" w:hAnsi="Arial" w:cs="Arial"/>
        </w:rPr>
      </w:pPr>
    </w:p>
    <w:tbl>
      <w:tblPr>
        <w:tblW w:w="9737" w:type="dxa"/>
        <w:tblLayout w:type="fixed"/>
        <w:tblLook w:val="0400" w:firstRow="0" w:lastRow="0" w:firstColumn="0" w:lastColumn="0" w:noHBand="0" w:noVBand="1"/>
      </w:tblPr>
      <w:tblGrid>
        <w:gridCol w:w="6164"/>
        <w:gridCol w:w="1404"/>
        <w:gridCol w:w="2169"/>
      </w:tblGrid>
      <w:tr w:rsidR="00AB6011" w14:paraId="7DF546E9" w14:textId="77777777" w:rsidTr="00667929">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369724D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0"/>
                <w:szCs w:val="20"/>
              </w:rPr>
              <w:t>Team:</w:t>
            </w:r>
            <w:r>
              <w:rPr>
                <w:rFonts w:ascii="Arial" w:eastAsia="Arial" w:hAnsi="Arial" w:cs="Arial"/>
                <w:color w:val="000000"/>
                <w:sz w:val="20"/>
                <w:szCs w:val="20"/>
              </w:rPr>
              <w:t xml:space="preserve"> </w:t>
            </w:r>
            <w:sdt>
              <w:sdtPr>
                <w:tag w:val="goog_rdk_9"/>
                <w:id w:val="291644031"/>
              </w:sdtPr>
              <w:sdtContent>
                <w:r>
                  <w:rPr>
                    <w:rFonts w:ascii="Arial Unicode MS" w:eastAsia="Arial Unicode MS" w:hAnsi="Arial Unicode MS" w:cs="Arial Unicode MS"/>
                    <w:color w:val="000000"/>
                    <w:sz w:val="20"/>
                    <w:szCs w:val="20"/>
                  </w:rPr>
                  <w:t>☐</w:t>
                </w:r>
              </w:sdtContent>
            </w:sdt>
            <w:r>
              <w:rPr>
                <w:rFonts w:ascii="Arial" w:eastAsia="Arial" w:hAnsi="Arial" w:cs="Arial"/>
                <w:color w:val="000000"/>
                <w:sz w:val="20"/>
                <w:szCs w:val="20"/>
              </w:rPr>
              <w:t xml:space="preserve"> Philippine Team</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F6C5318"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PCHRD-GIA</w:t>
            </w:r>
          </w:p>
          <w:p w14:paraId="59BCB282"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i/>
                <w:color w:val="000000"/>
                <w:sz w:val="16"/>
                <w:szCs w:val="16"/>
              </w:rPr>
              <w:t>(Funding Agency)</w:t>
            </w: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719098E"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Implementing Agency</w:t>
            </w:r>
          </w:p>
          <w:p w14:paraId="56906EBE" w14:textId="77777777" w:rsidR="00AB6011" w:rsidRDefault="00AB6011"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i/>
                <w:color w:val="000000"/>
                <w:sz w:val="16"/>
                <w:szCs w:val="16"/>
              </w:rPr>
              <w:t>(Counterpart Funding)</w:t>
            </w:r>
          </w:p>
        </w:tc>
      </w:tr>
      <w:tr w:rsidR="00AB6011" w14:paraId="4CF22A3C" w14:textId="77777777" w:rsidTr="00667929">
        <w:tc>
          <w:tcPr>
            <w:tcW w:w="9737" w:type="dxa"/>
            <w:gridSpan w:val="3"/>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45AE5B5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FFFFFF"/>
                <w:sz w:val="20"/>
                <w:szCs w:val="20"/>
              </w:rPr>
              <w:t>I. Personnel Services (PS)</w:t>
            </w:r>
          </w:p>
        </w:tc>
      </w:tr>
      <w:tr w:rsidR="00AB6011" w14:paraId="3BAFD688" w14:textId="77777777" w:rsidTr="00667929">
        <w:tc>
          <w:tcPr>
            <w:tcW w:w="9737"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14B2AA6"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i/>
                <w:color w:val="000000"/>
                <w:sz w:val="20"/>
                <w:szCs w:val="20"/>
                <w:u w:val="single"/>
              </w:rPr>
              <w:t>Direct Cost</w:t>
            </w:r>
          </w:p>
        </w:tc>
      </w:tr>
      <w:tr w:rsidR="00AB6011" w14:paraId="214301F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3C5EA09" w14:textId="77777777" w:rsidR="00AB6011" w:rsidRDefault="00AB6011" w:rsidP="00667929">
            <w:pPr>
              <w:widowControl/>
              <w:pBdr>
                <w:top w:val="nil"/>
                <w:left w:val="nil"/>
                <w:bottom w:val="nil"/>
                <w:right w:val="nil"/>
                <w:between w:val="nil"/>
              </w:pBdr>
              <w:spacing w:line="276" w:lineRule="auto"/>
              <w:ind w:left="156"/>
              <w:rPr>
                <w:rFonts w:ascii="Arial" w:eastAsia="Arial" w:hAnsi="Arial" w:cs="Arial"/>
                <w:color w:val="000000"/>
                <w:sz w:val="24"/>
                <w:szCs w:val="24"/>
              </w:rPr>
            </w:pPr>
            <w:r>
              <w:rPr>
                <w:rFonts w:ascii="Arial" w:eastAsia="Arial" w:hAnsi="Arial" w:cs="Arial"/>
                <w:color w:val="000000"/>
                <w:sz w:val="20"/>
                <w:szCs w:val="20"/>
              </w:rPr>
              <w:t>Salaries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AB03D47"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62B96C0" w14:textId="77777777" w:rsidR="00AB6011" w:rsidRDefault="00AB6011" w:rsidP="00667929">
            <w:pPr>
              <w:spacing w:line="276" w:lineRule="auto"/>
              <w:rPr>
                <w:rFonts w:ascii="Arial" w:eastAsia="Arial" w:hAnsi="Arial" w:cs="Arial"/>
              </w:rPr>
            </w:pPr>
          </w:p>
        </w:tc>
      </w:tr>
      <w:tr w:rsidR="00AB6011" w14:paraId="6190C8D0"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2AE4B40"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389A1C8"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2102CBB" w14:textId="77777777" w:rsidR="00AB6011" w:rsidRDefault="00AB6011" w:rsidP="00667929">
            <w:pPr>
              <w:spacing w:line="276" w:lineRule="auto"/>
              <w:rPr>
                <w:rFonts w:ascii="Arial" w:eastAsia="Arial" w:hAnsi="Arial" w:cs="Arial"/>
              </w:rPr>
            </w:pPr>
          </w:p>
        </w:tc>
      </w:tr>
      <w:tr w:rsidR="00AB6011" w14:paraId="6ECF8CFD"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A74CD53"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DF5A2FF"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37AF32C" w14:textId="77777777" w:rsidR="00AB6011" w:rsidRDefault="00AB6011" w:rsidP="00667929">
            <w:pPr>
              <w:spacing w:line="276" w:lineRule="auto"/>
              <w:rPr>
                <w:rFonts w:ascii="Arial" w:eastAsia="Arial" w:hAnsi="Arial" w:cs="Arial"/>
              </w:rPr>
            </w:pPr>
          </w:p>
        </w:tc>
      </w:tr>
      <w:tr w:rsidR="00AB6011" w14:paraId="3FE15AFD"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B60B3FB" w14:textId="77777777" w:rsidR="00AB6011" w:rsidRDefault="00AB6011" w:rsidP="00667929">
            <w:pPr>
              <w:widowControl/>
              <w:pBdr>
                <w:top w:val="nil"/>
                <w:left w:val="nil"/>
                <w:bottom w:val="nil"/>
                <w:right w:val="nil"/>
                <w:between w:val="nil"/>
              </w:pBdr>
              <w:spacing w:line="276" w:lineRule="auto"/>
              <w:ind w:left="156"/>
              <w:rPr>
                <w:rFonts w:ascii="Arial" w:eastAsia="Arial" w:hAnsi="Arial" w:cs="Arial"/>
                <w:color w:val="000000"/>
                <w:sz w:val="24"/>
                <w:szCs w:val="24"/>
              </w:rPr>
            </w:pPr>
            <w:r>
              <w:rPr>
                <w:rFonts w:ascii="Arial" w:eastAsia="Arial" w:hAnsi="Arial" w:cs="Arial"/>
                <w:color w:val="000000"/>
                <w:sz w:val="20"/>
                <w:szCs w:val="20"/>
              </w:rPr>
              <w:t>Honoraria</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7E57794"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92948F8" w14:textId="77777777" w:rsidR="00AB6011" w:rsidRDefault="00AB6011" w:rsidP="00667929">
            <w:pPr>
              <w:spacing w:line="276" w:lineRule="auto"/>
              <w:rPr>
                <w:rFonts w:ascii="Arial" w:eastAsia="Arial" w:hAnsi="Arial" w:cs="Arial"/>
              </w:rPr>
            </w:pPr>
          </w:p>
        </w:tc>
      </w:tr>
      <w:tr w:rsidR="00AB6011" w14:paraId="0312F9C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36C705B"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21F21BC"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F5DF87E" w14:textId="77777777" w:rsidR="00AB6011" w:rsidRDefault="00AB6011" w:rsidP="00667929">
            <w:pPr>
              <w:spacing w:line="276" w:lineRule="auto"/>
              <w:rPr>
                <w:rFonts w:ascii="Arial" w:eastAsia="Arial" w:hAnsi="Arial" w:cs="Arial"/>
              </w:rPr>
            </w:pPr>
          </w:p>
        </w:tc>
      </w:tr>
      <w:tr w:rsidR="00AB6011" w14:paraId="61358FFA"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A041DE2"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AFB267E"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00093DE" w14:textId="77777777" w:rsidR="00AB6011" w:rsidRDefault="00AB6011" w:rsidP="00667929">
            <w:pPr>
              <w:spacing w:line="276" w:lineRule="auto"/>
              <w:rPr>
                <w:rFonts w:ascii="Arial" w:eastAsia="Arial" w:hAnsi="Arial" w:cs="Arial"/>
              </w:rPr>
            </w:pPr>
          </w:p>
        </w:tc>
      </w:tr>
      <w:tr w:rsidR="00AB6011" w14:paraId="4F1DAC9C" w14:textId="77777777" w:rsidTr="00667929">
        <w:trPr>
          <w:trHeight w:val="125"/>
        </w:trPr>
        <w:tc>
          <w:tcPr>
            <w:tcW w:w="6164"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5EE14C0D" w14:textId="77777777" w:rsidR="00AB6011" w:rsidRDefault="00AB6011" w:rsidP="00667929">
            <w:pPr>
              <w:widowControl/>
              <w:pBdr>
                <w:top w:val="nil"/>
                <w:left w:val="nil"/>
                <w:bottom w:val="nil"/>
                <w:right w:val="nil"/>
                <w:between w:val="nil"/>
              </w:pBdr>
              <w:spacing w:line="276" w:lineRule="auto"/>
              <w:jc w:val="right"/>
              <w:rPr>
                <w:rFonts w:ascii="Arial" w:eastAsia="Arial" w:hAnsi="Arial" w:cs="Arial"/>
                <w:color w:val="000000"/>
                <w:sz w:val="24"/>
                <w:szCs w:val="24"/>
              </w:rPr>
            </w:pPr>
            <w:r>
              <w:rPr>
                <w:rFonts w:ascii="Arial" w:eastAsia="Arial" w:hAnsi="Arial" w:cs="Arial"/>
                <w:b/>
                <w:color w:val="000000"/>
                <w:sz w:val="20"/>
                <w:szCs w:val="20"/>
              </w:rPr>
              <w:t>Sub-total for PS</w:t>
            </w:r>
          </w:p>
        </w:tc>
        <w:tc>
          <w:tcPr>
            <w:tcW w:w="1404"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042F6D96"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2A8BC552" w14:textId="77777777" w:rsidR="00AB6011" w:rsidRDefault="00AB6011" w:rsidP="00667929">
            <w:pPr>
              <w:spacing w:line="276" w:lineRule="auto"/>
              <w:rPr>
                <w:rFonts w:ascii="Arial" w:eastAsia="Arial" w:hAnsi="Arial" w:cs="Arial"/>
              </w:rPr>
            </w:pPr>
          </w:p>
        </w:tc>
      </w:tr>
      <w:tr w:rsidR="00AB6011" w14:paraId="3432F9FC" w14:textId="77777777" w:rsidTr="00667929">
        <w:tc>
          <w:tcPr>
            <w:tcW w:w="9737" w:type="dxa"/>
            <w:gridSpan w:val="3"/>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4073C400"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FFFFFF"/>
                <w:sz w:val="20"/>
                <w:szCs w:val="20"/>
              </w:rPr>
              <w:t>II. Maintenance and Other Operating Expenses (MOOE)</w:t>
            </w:r>
          </w:p>
        </w:tc>
      </w:tr>
      <w:tr w:rsidR="00AB6011" w14:paraId="3A752B7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2AD050D"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i/>
                <w:color w:val="000000"/>
                <w:sz w:val="20"/>
                <w:szCs w:val="20"/>
                <w:u w:val="single"/>
              </w:rPr>
              <w:t>Direct Cost</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2A788A8"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0327311" w14:textId="77777777" w:rsidR="00AB6011" w:rsidRDefault="00AB6011" w:rsidP="00667929">
            <w:pPr>
              <w:spacing w:line="276" w:lineRule="auto"/>
              <w:rPr>
                <w:rFonts w:ascii="Arial" w:eastAsia="Arial" w:hAnsi="Arial" w:cs="Arial"/>
              </w:rPr>
            </w:pPr>
          </w:p>
        </w:tc>
      </w:tr>
      <w:tr w:rsidR="00AB6011" w14:paraId="76690036"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C1066D7"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Traveling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C46294F"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AABA86C" w14:textId="77777777" w:rsidR="00AB6011" w:rsidRDefault="00AB6011" w:rsidP="00667929">
            <w:pPr>
              <w:spacing w:line="276" w:lineRule="auto"/>
              <w:rPr>
                <w:rFonts w:ascii="Arial" w:eastAsia="Arial" w:hAnsi="Arial" w:cs="Arial"/>
              </w:rPr>
            </w:pPr>
          </w:p>
        </w:tc>
      </w:tr>
      <w:tr w:rsidR="00AB6011" w14:paraId="20C30414"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53A14AC"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Local</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037EA79"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C2ACB38" w14:textId="77777777" w:rsidR="00AB6011" w:rsidRDefault="00AB6011" w:rsidP="00667929">
            <w:pPr>
              <w:spacing w:line="276" w:lineRule="auto"/>
              <w:rPr>
                <w:rFonts w:ascii="Arial" w:eastAsia="Arial" w:hAnsi="Arial" w:cs="Arial"/>
              </w:rPr>
            </w:pPr>
          </w:p>
        </w:tc>
      </w:tr>
      <w:tr w:rsidR="00AB6011" w14:paraId="5A9330F6"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48039D8"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Foreign</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63817B7"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0F2B83F" w14:textId="77777777" w:rsidR="00AB6011" w:rsidRDefault="00AB6011" w:rsidP="00667929">
            <w:pPr>
              <w:spacing w:line="276" w:lineRule="auto"/>
              <w:rPr>
                <w:rFonts w:ascii="Arial" w:eastAsia="Arial" w:hAnsi="Arial" w:cs="Arial"/>
              </w:rPr>
            </w:pPr>
          </w:p>
        </w:tc>
      </w:tr>
      <w:tr w:rsidR="00AB6011" w14:paraId="550C56CF"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BCA32AB"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lastRenderedPageBreak/>
              <w:t>Communication Expenses  </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706BA23"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81FBFC2" w14:textId="77777777" w:rsidR="00AB6011" w:rsidRDefault="00AB6011" w:rsidP="00667929">
            <w:pPr>
              <w:spacing w:line="276" w:lineRule="auto"/>
              <w:rPr>
                <w:rFonts w:ascii="Arial" w:eastAsia="Arial" w:hAnsi="Arial" w:cs="Arial"/>
              </w:rPr>
            </w:pPr>
          </w:p>
        </w:tc>
      </w:tr>
      <w:tr w:rsidR="00AB6011" w14:paraId="44BEC7BA"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56B1B2A"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Postage and Courier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8FDFD8B"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2F46476" w14:textId="77777777" w:rsidR="00AB6011" w:rsidRDefault="00AB6011" w:rsidP="00667929">
            <w:pPr>
              <w:spacing w:line="276" w:lineRule="auto"/>
              <w:rPr>
                <w:rFonts w:ascii="Arial" w:eastAsia="Arial" w:hAnsi="Arial" w:cs="Arial"/>
              </w:rPr>
            </w:pPr>
          </w:p>
        </w:tc>
      </w:tr>
      <w:tr w:rsidR="00AB6011" w14:paraId="3427C226"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60101A3"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Telephone Expenses (Landline)</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FA8A69A"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40C3A5D" w14:textId="77777777" w:rsidR="00AB6011" w:rsidRDefault="00AB6011" w:rsidP="00667929">
            <w:pPr>
              <w:spacing w:line="276" w:lineRule="auto"/>
              <w:rPr>
                <w:rFonts w:ascii="Arial" w:eastAsia="Arial" w:hAnsi="Arial" w:cs="Arial"/>
              </w:rPr>
            </w:pPr>
          </w:p>
        </w:tc>
      </w:tr>
      <w:tr w:rsidR="00AB6011" w14:paraId="34A0D2BC"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45006C4"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Mobile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D207AAD"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20F00DD" w14:textId="77777777" w:rsidR="00AB6011" w:rsidRDefault="00AB6011" w:rsidP="00667929">
            <w:pPr>
              <w:spacing w:line="276" w:lineRule="auto"/>
              <w:rPr>
                <w:rFonts w:ascii="Arial" w:eastAsia="Arial" w:hAnsi="Arial" w:cs="Arial"/>
              </w:rPr>
            </w:pPr>
          </w:p>
        </w:tc>
      </w:tr>
      <w:tr w:rsidR="00AB6011" w14:paraId="040FF3B3"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8C155D5"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Internet Subscription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C06968F"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3CABF0C" w14:textId="77777777" w:rsidR="00AB6011" w:rsidRDefault="00AB6011" w:rsidP="00667929">
            <w:pPr>
              <w:spacing w:line="276" w:lineRule="auto"/>
              <w:rPr>
                <w:rFonts w:ascii="Arial" w:eastAsia="Arial" w:hAnsi="Arial" w:cs="Arial"/>
              </w:rPr>
            </w:pPr>
          </w:p>
        </w:tc>
      </w:tr>
      <w:tr w:rsidR="00AB6011" w14:paraId="7EB3A32C"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304C050"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Cable, Satellite, Telegraph and Radio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852B64D"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828578E" w14:textId="77777777" w:rsidR="00AB6011" w:rsidRDefault="00AB6011" w:rsidP="00667929">
            <w:pPr>
              <w:spacing w:line="276" w:lineRule="auto"/>
              <w:rPr>
                <w:rFonts w:ascii="Arial" w:eastAsia="Arial" w:hAnsi="Arial" w:cs="Arial"/>
              </w:rPr>
            </w:pPr>
          </w:p>
        </w:tc>
      </w:tr>
      <w:tr w:rsidR="00AB6011" w14:paraId="128BE53A"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C87BEDA"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Facilities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EB19261"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D495D44" w14:textId="77777777" w:rsidR="00AB6011" w:rsidRDefault="00AB6011" w:rsidP="00667929">
            <w:pPr>
              <w:spacing w:line="276" w:lineRule="auto"/>
              <w:rPr>
                <w:rFonts w:ascii="Arial" w:eastAsia="Arial" w:hAnsi="Arial" w:cs="Arial"/>
              </w:rPr>
            </w:pPr>
          </w:p>
        </w:tc>
      </w:tr>
      <w:tr w:rsidR="00AB6011" w14:paraId="61BF7B42"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BE5AEA6"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Office Equipment</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569E235"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A17E52B" w14:textId="77777777" w:rsidR="00AB6011" w:rsidRDefault="00AB6011" w:rsidP="00667929">
            <w:pPr>
              <w:spacing w:line="276" w:lineRule="auto"/>
              <w:rPr>
                <w:rFonts w:ascii="Arial" w:eastAsia="Arial" w:hAnsi="Arial" w:cs="Arial"/>
              </w:rPr>
            </w:pPr>
          </w:p>
        </w:tc>
      </w:tr>
      <w:tr w:rsidR="00AB6011" w14:paraId="686EEF2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9E88E9D"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Furniture and Fixtures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9B3C546"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0A3D6A9" w14:textId="77777777" w:rsidR="00AB6011" w:rsidRDefault="00AB6011" w:rsidP="00667929">
            <w:pPr>
              <w:spacing w:line="276" w:lineRule="auto"/>
              <w:rPr>
                <w:rFonts w:ascii="Arial" w:eastAsia="Arial" w:hAnsi="Arial" w:cs="Arial"/>
              </w:rPr>
            </w:pPr>
          </w:p>
        </w:tc>
      </w:tr>
      <w:tr w:rsidR="00AB6011" w14:paraId="01B354E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2D8A7BF"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Machinery and Equipment</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CA80D4C"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612FE51" w14:textId="77777777" w:rsidR="00AB6011" w:rsidRDefault="00AB6011" w:rsidP="00667929">
            <w:pPr>
              <w:spacing w:line="276" w:lineRule="auto"/>
              <w:rPr>
                <w:rFonts w:ascii="Arial" w:eastAsia="Arial" w:hAnsi="Arial" w:cs="Arial"/>
              </w:rPr>
            </w:pPr>
          </w:p>
        </w:tc>
      </w:tr>
      <w:tr w:rsidR="00AB6011" w14:paraId="2756C13A"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7CBDAFB"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IT Equipment and Software</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29CC593"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3546296" w14:textId="77777777" w:rsidR="00AB6011" w:rsidRDefault="00AB6011" w:rsidP="00667929">
            <w:pPr>
              <w:spacing w:line="276" w:lineRule="auto"/>
              <w:rPr>
                <w:rFonts w:ascii="Arial" w:eastAsia="Arial" w:hAnsi="Arial" w:cs="Arial"/>
              </w:rPr>
            </w:pPr>
          </w:p>
        </w:tc>
      </w:tr>
      <w:tr w:rsidR="00AB6011" w14:paraId="0F16A0F6"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63F9268"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Building</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FE06C70"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FACB132" w14:textId="77777777" w:rsidR="00AB6011" w:rsidRDefault="00AB6011" w:rsidP="00667929">
            <w:pPr>
              <w:spacing w:line="276" w:lineRule="auto"/>
              <w:rPr>
                <w:rFonts w:ascii="Arial" w:eastAsia="Arial" w:hAnsi="Arial" w:cs="Arial"/>
              </w:rPr>
            </w:pPr>
          </w:p>
        </w:tc>
      </w:tr>
      <w:tr w:rsidR="00AB6011" w14:paraId="60E9DD75"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229B004"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Office and Laboratory Facilities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4528190"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C4151BF" w14:textId="77777777" w:rsidR="00AB6011" w:rsidRDefault="00AB6011" w:rsidP="00667929">
            <w:pPr>
              <w:spacing w:line="276" w:lineRule="auto"/>
              <w:rPr>
                <w:rFonts w:ascii="Arial" w:eastAsia="Arial" w:hAnsi="Arial" w:cs="Arial"/>
              </w:rPr>
            </w:pPr>
          </w:p>
        </w:tc>
      </w:tr>
      <w:tr w:rsidR="00AB6011" w14:paraId="27A82BE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6E1BFE1"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Repairs and Maintenance of Vehicles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D8ABD35"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E896302" w14:textId="77777777" w:rsidR="00AB6011" w:rsidRDefault="00AB6011" w:rsidP="00667929">
            <w:pPr>
              <w:spacing w:line="276" w:lineRule="auto"/>
              <w:rPr>
                <w:rFonts w:ascii="Arial" w:eastAsia="Arial" w:hAnsi="Arial" w:cs="Arial"/>
              </w:rPr>
            </w:pPr>
          </w:p>
        </w:tc>
      </w:tr>
      <w:tr w:rsidR="00AB6011" w14:paraId="2FB8D8B4"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9A81CCB"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Transportation and Delivery Services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1659194"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08EC217" w14:textId="77777777" w:rsidR="00AB6011" w:rsidRDefault="00AB6011" w:rsidP="00667929">
            <w:pPr>
              <w:spacing w:line="276" w:lineRule="auto"/>
              <w:rPr>
                <w:rFonts w:ascii="Arial" w:eastAsia="Arial" w:hAnsi="Arial" w:cs="Arial"/>
              </w:rPr>
            </w:pPr>
          </w:p>
        </w:tc>
      </w:tr>
      <w:tr w:rsidR="00AB6011" w14:paraId="68F4A823"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15E3E0A"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 xml:space="preserve">Supplies and Materials Expenses </w:t>
            </w:r>
            <w:r>
              <w:rPr>
                <w:rFonts w:ascii="Arial" w:eastAsia="Arial" w:hAnsi="Arial" w:cs="Arial"/>
                <w:i/>
                <w:color w:val="000000"/>
                <w:sz w:val="16"/>
                <w:szCs w:val="16"/>
              </w:rPr>
              <w:t>(shall be itemized based on GAM)</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77EFEDD"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E046071" w14:textId="77777777" w:rsidR="00AB6011" w:rsidRDefault="00AB6011" w:rsidP="00667929">
            <w:pPr>
              <w:spacing w:line="276" w:lineRule="auto"/>
              <w:rPr>
                <w:rFonts w:ascii="Arial" w:eastAsia="Arial" w:hAnsi="Arial" w:cs="Arial"/>
              </w:rPr>
            </w:pPr>
          </w:p>
        </w:tc>
      </w:tr>
      <w:tr w:rsidR="00AB6011" w14:paraId="6C3D8325"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CE345CC"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Office Supplies Expenses, Gasoline, Oil and Lubricants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5F958FD"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9D78606" w14:textId="77777777" w:rsidR="00AB6011" w:rsidRDefault="00AB6011" w:rsidP="00667929">
            <w:pPr>
              <w:spacing w:line="276" w:lineRule="auto"/>
              <w:rPr>
                <w:rFonts w:ascii="Arial" w:eastAsia="Arial" w:hAnsi="Arial" w:cs="Arial"/>
              </w:rPr>
            </w:pPr>
          </w:p>
        </w:tc>
      </w:tr>
      <w:tr w:rsidR="00AB6011" w14:paraId="3E0C61D6"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EDD2306"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Agricultural Supplies Expenses, etc.</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49544F7"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D83A2E0" w14:textId="77777777" w:rsidR="00AB6011" w:rsidRDefault="00AB6011" w:rsidP="00667929">
            <w:pPr>
              <w:spacing w:line="276" w:lineRule="auto"/>
              <w:rPr>
                <w:rFonts w:ascii="Arial" w:eastAsia="Arial" w:hAnsi="Arial" w:cs="Arial"/>
              </w:rPr>
            </w:pPr>
          </w:p>
        </w:tc>
      </w:tr>
      <w:tr w:rsidR="00AB6011" w14:paraId="09DFA0C3"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C122F5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Utility Expenses</w:t>
            </w:r>
            <w:r>
              <w:rPr>
                <w:rFonts w:ascii="Arial" w:eastAsia="Arial" w:hAnsi="Arial" w:cs="Arial"/>
                <w:i/>
                <w:color w:val="000000"/>
                <w:sz w:val="16"/>
                <w:szCs w:val="16"/>
              </w:rPr>
              <w:t xml:space="preserve"> (Please indicate)</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0AE6229"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CF8A506" w14:textId="77777777" w:rsidR="00AB6011" w:rsidRDefault="00AB6011" w:rsidP="00667929">
            <w:pPr>
              <w:spacing w:line="276" w:lineRule="auto"/>
              <w:rPr>
                <w:rFonts w:ascii="Arial" w:eastAsia="Arial" w:hAnsi="Arial" w:cs="Arial"/>
              </w:rPr>
            </w:pPr>
          </w:p>
        </w:tc>
      </w:tr>
      <w:tr w:rsidR="00AB6011" w14:paraId="2CF647C9"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3271A8D"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Water, Electricity and Cooking Fuel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E327886"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1469CB3" w14:textId="77777777" w:rsidR="00AB6011" w:rsidRDefault="00AB6011" w:rsidP="00667929">
            <w:pPr>
              <w:spacing w:line="276" w:lineRule="auto"/>
              <w:rPr>
                <w:rFonts w:ascii="Arial" w:eastAsia="Arial" w:hAnsi="Arial" w:cs="Arial"/>
              </w:rPr>
            </w:pPr>
          </w:p>
        </w:tc>
      </w:tr>
      <w:tr w:rsidR="00AB6011" w14:paraId="66B73DC1"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F2CABCE"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 xml:space="preserve">Training and Scholarship Expenses </w:t>
            </w:r>
            <w:r>
              <w:rPr>
                <w:rFonts w:ascii="Arial" w:eastAsia="Arial" w:hAnsi="Arial" w:cs="Arial"/>
                <w:i/>
                <w:color w:val="000000"/>
                <w:sz w:val="16"/>
                <w:szCs w:val="16"/>
              </w:rPr>
              <w:t>(Please indicate)</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FC7EA1B"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36CF9C7" w14:textId="77777777" w:rsidR="00AB6011" w:rsidRDefault="00AB6011" w:rsidP="00667929">
            <w:pPr>
              <w:spacing w:line="276" w:lineRule="auto"/>
              <w:rPr>
                <w:rFonts w:ascii="Arial" w:eastAsia="Arial" w:hAnsi="Arial" w:cs="Arial"/>
              </w:rPr>
            </w:pPr>
          </w:p>
        </w:tc>
      </w:tr>
      <w:tr w:rsidR="00AB6011" w14:paraId="736C6869"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EC8F5A0"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 xml:space="preserve">Membership Dues and Contributions to Organizations </w:t>
            </w:r>
            <w:r>
              <w:rPr>
                <w:rFonts w:ascii="Arial" w:eastAsia="Arial" w:hAnsi="Arial" w:cs="Arial"/>
                <w:i/>
                <w:color w:val="000000"/>
                <w:sz w:val="16"/>
                <w:szCs w:val="16"/>
              </w:rPr>
              <w:t>(only by Counterpart Funding)</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E83ACCE"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C891EB9" w14:textId="77777777" w:rsidR="00AB6011" w:rsidRDefault="00AB6011" w:rsidP="00667929">
            <w:pPr>
              <w:spacing w:line="276" w:lineRule="auto"/>
              <w:rPr>
                <w:rFonts w:ascii="Arial" w:eastAsia="Arial" w:hAnsi="Arial" w:cs="Arial"/>
              </w:rPr>
            </w:pPr>
          </w:p>
        </w:tc>
      </w:tr>
      <w:tr w:rsidR="00AB6011" w14:paraId="089C31BB"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0EE6FBE"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Advertising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6419F91"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E936BD2" w14:textId="77777777" w:rsidR="00AB6011" w:rsidRDefault="00AB6011" w:rsidP="00667929">
            <w:pPr>
              <w:spacing w:line="276" w:lineRule="auto"/>
              <w:rPr>
                <w:rFonts w:ascii="Arial" w:eastAsia="Arial" w:hAnsi="Arial" w:cs="Arial"/>
              </w:rPr>
            </w:pPr>
          </w:p>
        </w:tc>
      </w:tr>
      <w:tr w:rsidR="00AB6011" w14:paraId="01464C77"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B2C8FA0"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Printing and Publication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78ECBE9"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C317AF1" w14:textId="77777777" w:rsidR="00AB6011" w:rsidRDefault="00AB6011" w:rsidP="00667929">
            <w:pPr>
              <w:spacing w:line="276" w:lineRule="auto"/>
              <w:rPr>
                <w:rFonts w:ascii="Arial" w:eastAsia="Arial" w:hAnsi="Arial" w:cs="Arial"/>
              </w:rPr>
            </w:pPr>
          </w:p>
        </w:tc>
      </w:tr>
      <w:tr w:rsidR="00AB6011" w14:paraId="4239189D"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0F02DB4"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Rent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915F5E9"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A87AE5D" w14:textId="77777777" w:rsidR="00AB6011" w:rsidRDefault="00AB6011" w:rsidP="00667929">
            <w:pPr>
              <w:spacing w:line="276" w:lineRule="auto"/>
              <w:rPr>
                <w:rFonts w:ascii="Arial" w:eastAsia="Arial" w:hAnsi="Arial" w:cs="Arial"/>
              </w:rPr>
            </w:pPr>
          </w:p>
        </w:tc>
      </w:tr>
      <w:tr w:rsidR="00AB6011" w14:paraId="4B316A30"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37213C8"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 xml:space="preserve">Representation Expenses </w:t>
            </w:r>
            <w:r>
              <w:rPr>
                <w:rFonts w:ascii="Arial" w:eastAsia="Arial" w:hAnsi="Arial" w:cs="Arial"/>
                <w:i/>
                <w:color w:val="000000"/>
                <w:sz w:val="16"/>
                <w:szCs w:val="16"/>
              </w:rPr>
              <w:t>(e.g., food for meetings, etc.)</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A6DA3D7"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B335430" w14:textId="77777777" w:rsidR="00AB6011" w:rsidRDefault="00AB6011" w:rsidP="00667929">
            <w:pPr>
              <w:spacing w:line="276" w:lineRule="auto"/>
              <w:rPr>
                <w:rFonts w:ascii="Arial" w:eastAsia="Arial" w:hAnsi="Arial" w:cs="Arial"/>
              </w:rPr>
            </w:pPr>
          </w:p>
        </w:tc>
      </w:tr>
      <w:tr w:rsidR="00AB6011" w14:paraId="57CF6902"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1C3887B"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Subscription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557B6BF"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10A6B9F" w14:textId="77777777" w:rsidR="00AB6011" w:rsidRDefault="00AB6011" w:rsidP="00667929">
            <w:pPr>
              <w:spacing w:line="276" w:lineRule="auto"/>
              <w:rPr>
                <w:rFonts w:ascii="Arial" w:eastAsia="Arial" w:hAnsi="Arial" w:cs="Arial"/>
              </w:rPr>
            </w:pPr>
          </w:p>
        </w:tc>
      </w:tr>
      <w:tr w:rsidR="00AB6011" w14:paraId="56287227"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AFC5F0C"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Survey Expenses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ED729B9"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F687A4C" w14:textId="77777777" w:rsidR="00AB6011" w:rsidRDefault="00AB6011" w:rsidP="00667929">
            <w:pPr>
              <w:spacing w:line="276" w:lineRule="auto"/>
              <w:rPr>
                <w:rFonts w:ascii="Arial" w:eastAsia="Arial" w:hAnsi="Arial" w:cs="Arial"/>
              </w:rPr>
            </w:pPr>
          </w:p>
        </w:tc>
      </w:tr>
      <w:tr w:rsidR="00AB6011" w14:paraId="195FBF4F"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8B01303"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lastRenderedPageBreak/>
              <w:t>Professional Services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5D659EB"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B446190" w14:textId="77777777" w:rsidR="00AB6011" w:rsidRDefault="00AB6011" w:rsidP="00667929">
            <w:pPr>
              <w:spacing w:line="276" w:lineRule="auto"/>
              <w:rPr>
                <w:rFonts w:ascii="Arial" w:eastAsia="Arial" w:hAnsi="Arial" w:cs="Arial"/>
              </w:rPr>
            </w:pPr>
          </w:p>
        </w:tc>
      </w:tr>
      <w:tr w:rsidR="00AB6011" w14:paraId="6CAE08CC"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93B060E"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Legal Services, Auditing Services, Consultancy Services,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863FE16"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F1751E7" w14:textId="77777777" w:rsidR="00AB6011" w:rsidRDefault="00AB6011" w:rsidP="00667929">
            <w:pPr>
              <w:spacing w:line="276" w:lineRule="auto"/>
              <w:rPr>
                <w:rFonts w:ascii="Arial" w:eastAsia="Arial" w:hAnsi="Arial" w:cs="Arial"/>
              </w:rPr>
            </w:pPr>
          </w:p>
        </w:tc>
      </w:tr>
      <w:tr w:rsidR="00AB6011" w14:paraId="5D141154"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B9459F1"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Other Professional Services etc.</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54B58AE"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695D4DE" w14:textId="77777777" w:rsidR="00AB6011" w:rsidRDefault="00AB6011" w:rsidP="00667929">
            <w:pPr>
              <w:spacing w:line="276" w:lineRule="auto"/>
              <w:rPr>
                <w:rFonts w:ascii="Arial" w:eastAsia="Arial" w:hAnsi="Arial" w:cs="Arial"/>
              </w:rPr>
            </w:pPr>
          </w:p>
        </w:tc>
      </w:tr>
      <w:tr w:rsidR="00AB6011" w14:paraId="0FE41A40"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5E9A4B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Taxes, Insurance Premiums and Other Fees</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F60310E"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846D19C" w14:textId="77777777" w:rsidR="00AB6011" w:rsidRDefault="00AB6011" w:rsidP="00667929">
            <w:pPr>
              <w:spacing w:line="276" w:lineRule="auto"/>
              <w:rPr>
                <w:rFonts w:ascii="Arial" w:eastAsia="Arial" w:hAnsi="Arial" w:cs="Arial"/>
              </w:rPr>
            </w:pPr>
          </w:p>
        </w:tc>
      </w:tr>
      <w:tr w:rsidR="00AB6011" w14:paraId="4A295D56"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CCFD527"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 xml:space="preserve">Other Maintenance and Operating Expenses </w:t>
            </w:r>
            <w:r>
              <w:rPr>
                <w:rFonts w:ascii="Arial" w:eastAsia="Arial" w:hAnsi="Arial" w:cs="Arial"/>
                <w:i/>
                <w:color w:val="000000"/>
                <w:sz w:val="16"/>
                <w:szCs w:val="16"/>
              </w:rPr>
              <w:t>(Please itemize)</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C311316"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1B5E545" w14:textId="77777777" w:rsidR="00AB6011" w:rsidRDefault="00AB6011" w:rsidP="00667929">
            <w:pPr>
              <w:spacing w:line="276" w:lineRule="auto"/>
              <w:rPr>
                <w:rFonts w:ascii="Arial" w:eastAsia="Arial" w:hAnsi="Arial" w:cs="Arial"/>
              </w:rPr>
            </w:pPr>
          </w:p>
        </w:tc>
      </w:tr>
      <w:tr w:rsidR="00AB6011" w14:paraId="2F2E43AC"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FEE7AD8"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i/>
                <w:color w:val="000000"/>
                <w:sz w:val="20"/>
                <w:szCs w:val="20"/>
                <w:u w:val="single"/>
              </w:rPr>
              <w:t>Indirect Cost</w:t>
            </w: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AEB78B3"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68248C3" w14:textId="77777777" w:rsidR="00AB6011" w:rsidRDefault="00AB6011" w:rsidP="00667929">
            <w:pPr>
              <w:spacing w:line="276" w:lineRule="auto"/>
              <w:rPr>
                <w:rFonts w:ascii="Arial" w:eastAsia="Arial" w:hAnsi="Arial" w:cs="Arial"/>
              </w:rPr>
            </w:pPr>
          </w:p>
        </w:tc>
      </w:tr>
      <w:tr w:rsidR="00AB6011" w14:paraId="56D32D08"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CE6E75E"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146B85E"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11BE954" w14:textId="77777777" w:rsidR="00AB6011" w:rsidRDefault="00AB6011" w:rsidP="00667929">
            <w:pPr>
              <w:spacing w:line="276" w:lineRule="auto"/>
              <w:rPr>
                <w:rFonts w:ascii="Arial" w:eastAsia="Arial" w:hAnsi="Arial" w:cs="Arial"/>
              </w:rPr>
            </w:pPr>
          </w:p>
        </w:tc>
      </w:tr>
      <w:tr w:rsidR="00AB6011" w14:paraId="02FC438B"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E736CEF"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D2715A5"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F76287E" w14:textId="77777777" w:rsidR="00AB6011" w:rsidRDefault="00AB6011" w:rsidP="00667929">
            <w:pPr>
              <w:spacing w:line="276" w:lineRule="auto"/>
              <w:rPr>
                <w:rFonts w:ascii="Arial" w:eastAsia="Arial" w:hAnsi="Arial" w:cs="Arial"/>
              </w:rPr>
            </w:pPr>
          </w:p>
        </w:tc>
      </w:tr>
      <w:tr w:rsidR="00AB6011" w14:paraId="066D4DCE" w14:textId="77777777" w:rsidTr="00667929">
        <w:tc>
          <w:tcPr>
            <w:tcW w:w="6164"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22B7CFD7" w14:textId="77777777" w:rsidR="00AB6011" w:rsidRDefault="00AB6011" w:rsidP="00667929">
            <w:pPr>
              <w:widowControl/>
              <w:pBdr>
                <w:top w:val="nil"/>
                <w:left w:val="nil"/>
                <w:bottom w:val="nil"/>
                <w:right w:val="nil"/>
                <w:between w:val="nil"/>
              </w:pBdr>
              <w:spacing w:line="276" w:lineRule="auto"/>
              <w:jc w:val="right"/>
              <w:rPr>
                <w:rFonts w:ascii="Arial" w:eastAsia="Arial" w:hAnsi="Arial" w:cs="Arial"/>
                <w:color w:val="000000"/>
                <w:sz w:val="24"/>
                <w:szCs w:val="24"/>
              </w:rPr>
            </w:pPr>
            <w:r>
              <w:rPr>
                <w:rFonts w:ascii="Arial" w:eastAsia="Arial" w:hAnsi="Arial" w:cs="Arial"/>
                <w:b/>
                <w:color w:val="000000"/>
                <w:sz w:val="20"/>
                <w:szCs w:val="20"/>
              </w:rPr>
              <w:t>Sub-total for MOOE</w:t>
            </w:r>
          </w:p>
        </w:tc>
        <w:tc>
          <w:tcPr>
            <w:tcW w:w="1404"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00AD2242"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0D07FC78" w14:textId="77777777" w:rsidR="00AB6011" w:rsidRDefault="00AB6011" w:rsidP="00667929">
            <w:pPr>
              <w:spacing w:line="276" w:lineRule="auto"/>
              <w:rPr>
                <w:rFonts w:ascii="Arial" w:eastAsia="Arial" w:hAnsi="Arial" w:cs="Arial"/>
              </w:rPr>
            </w:pPr>
          </w:p>
        </w:tc>
      </w:tr>
      <w:tr w:rsidR="00AB6011" w14:paraId="251EDCD3" w14:textId="77777777" w:rsidTr="00667929">
        <w:tc>
          <w:tcPr>
            <w:tcW w:w="9737" w:type="dxa"/>
            <w:gridSpan w:val="3"/>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2A4E9E6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FFFFFF"/>
                <w:sz w:val="20"/>
                <w:szCs w:val="20"/>
              </w:rPr>
              <w:t>III. Equipment Outlay (EO)</w:t>
            </w:r>
          </w:p>
        </w:tc>
      </w:tr>
      <w:tr w:rsidR="00AB6011" w14:paraId="20DA2FC5" w14:textId="77777777" w:rsidTr="00667929">
        <w:tc>
          <w:tcPr>
            <w:tcW w:w="9737"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C0A43DD"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i/>
                <w:color w:val="000000"/>
                <w:sz w:val="20"/>
                <w:szCs w:val="20"/>
                <w:u w:val="single"/>
              </w:rPr>
              <w:t>Direct Cost</w:t>
            </w:r>
          </w:p>
        </w:tc>
      </w:tr>
      <w:tr w:rsidR="00AB6011" w14:paraId="667903B4"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D67566B"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06B31C2"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B60AA7B" w14:textId="77777777" w:rsidR="00AB6011" w:rsidRDefault="00AB6011" w:rsidP="00667929">
            <w:pPr>
              <w:spacing w:line="276" w:lineRule="auto"/>
              <w:rPr>
                <w:rFonts w:ascii="Arial" w:eastAsia="Arial" w:hAnsi="Arial" w:cs="Arial"/>
              </w:rPr>
            </w:pPr>
          </w:p>
        </w:tc>
      </w:tr>
      <w:tr w:rsidR="00AB6011" w14:paraId="44F54198"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B8FF41F"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C951A08"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F149DC4" w14:textId="77777777" w:rsidR="00AB6011" w:rsidRDefault="00AB6011" w:rsidP="00667929">
            <w:pPr>
              <w:spacing w:line="276" w:lineRule="auto"/>
              <w:rPr>
                <w:rFonts w:ascii="Arial" w:eastAsia="Arial" w:hAnsi="Arial" w:cs="Arial"/>
              </w:rPr>
            </w:pPr>
          </w:p>
        </w:tc>
      </w:tr>
      <w:tr w:rsidR="00AB6011" w14:paraId="73B60B2A" w14:textId="77777777" w:rsidTr="00667929">
        <w:tc>
          <w:tcPr>
            <w:tcW w:w="9737"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FE23272" w14:textId="77777777" w:rsidR="00AB6011" w:rsidRDefault="00AB6011"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i/>
                <w:color w:val="000000"/>
                <w:sz w:val="20"/>
                <w:szCs w:val="20"/>
                <w:u w:val="single"/>
              </w:rPr>
              <w:t>Indirect Cost</w:t>
            </w:r>
          </w:p>
        </w:tc>
      </w:tr>
      <w:tr w:rsidR="00AB6011" w14:paraId="3B36BE2D"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9D73C9A"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13C9A9D"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4D045B7E" w14:textId="77777777" w:rsidR="00AB6011" w:rsidRDefault="00AB6011" w:rsidP="00667929">
            <w:pPr>
              <w:spacing w:line="276" w:lineRule="auto"/>
              <w:rPr>
                <w:rFonts w:ascii="Arial" w:eastAsia="Arial" w:hAnsi="Arial" w:cs="Arial"/>
              </w:rPr>
            </w:pPr>
          </w:p>
        </w:tc>
      </w:tr>
      <w:tr w:rsidR="00AB6011" w14:paraId="11693CA0" w14:textId="77777777" w:rsidTr="00667929">
        <w:tc>
          <w:tcPr>
            <w:tcW w:w="616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E2A902D" w14:textId="77777777" w:rsidR="00AB6011" w:rsidRDefault="00AB6011" w:rsidP="00667929">
            <w:pPr>
              <w:spacing w:line="276" w:lineRule="auto"/>
              <w:rPr>
                <w:rFonts w:ascii="Arial" w:eastAsia="Arial" w:hAnsi="Arial" w:cs="Arial"/>
              </w:rPr>
            </w:pPr>
          </w:p>
        </w:tc>
        <w:tc>
          <w:tcPr>
            <w:tcW w:w="140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1E9E14C"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474D703" w14:textId="77777777" w:rsidR="00AB6011" w:rsidRDefault="00AB6011" w:rsidP="00667929">
            <w:pPr>
              <w:spacing w:line="276" w:lineRule="auto"/>
              <w:rPr>
                <w:rFonts w:ascii="Arial" w:eastAsia="Arial" w:hAnsi="Arial" w:cs="Arial"/>
              </w:rPr>
            </w:pPr>
          </w:p>
        </w:tc>
      </w:tr>
      <w:tr w:rsidR="00AB6011" w14:paraId="3FB0182F" w14:textId="77777777" w:rsidTr="00667929">
        <w:tc>
          <w:tcPr>
            <w:tcW w:w="6164"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0D4788E1" w14:textId="77777777" w:rsidR="00AB6011" w:rsidRDefault="00AB6011" w:rsidP="00667929">
            <w:pPr>
              <w:widowControl/>
              <w:pBdr>
                <w:top w:val="nil"/>
                <w:left w:val="nil"/>
                <w:bottom w:val="nil"/>
                <w:right w:val="nil"/>
                <w:between w:val="nil"/>
              </w:pBdr>
              <w:spacing w:line="276" w:lineRule="auto"/>
              <w:jc w:val="right"/>
              <w:rPr>
                <w:rFonts w:ascii="Arial" w:eastAsia="Arial" w:hAnsi="Arial" w:cs="Arial"/>
                <w:color w:val="000000"/>
                <w:sz w:val="24"/>
                <w:szCs w:val="24"/>
              </w:rPr>
            </w:pPr>
            <w:r>
              <w:rPr>
                <w:rFonts w:ascii="Arial" w:eastAsia="Arial" w:hAnsi="Arial" w:cs="Arial"/>
                <w:b/>
                <w:color w:val="000000"/>
                <w:sz w:val="20"/>
                <w:szCs w:val="20"/>
              </w:rPr>
              <w:t>Sub-total for EO</w:t>
            </w:r>
          </w:p>
        </w:tc>
        <w:tc>
          <w:tcPr>
            <w:tcW w:w="1404"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0C5AE444"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15F3A93C" w14:textId="77777777" w:rsidR="00AB6011" w:rsidRDefault="00AB6011" w:rsidP="00667929">
            <w:pPr>
              <w:spacing w:line="276" w:lineRule="auto"/>
              <w:rPr>
                <w:rFonts w:ascii="Arial" w:eastAsia="Arial" w:hAnsi="Arial" w:cs="Arial"/>
              </w:rPr>
            </w:pPr>
          </w:p>
        </w:tc>
      </w:tr>
      <w:tr w:rsidR="00AB6011" w14:paraId="65AEE6CF" w14:textId="77777777" w:rsidTr="00667929">
        <w:tc>
          <w:tcPr>
            <w:tcW w:w="6164"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619C99CD" w14:textId="77777777" w:rsidR="00AB6011" w:rsidRDefault="00AB6011" w:rsidP="00667929">
            <w:pPr>
              <w:widowControl/>
              <w:pBdr>
                <w:top w:val="nil"/>
                <w:left w:val="nil"/>
                <w:bottom w:val="nil"/>
                <w:right w:val="nil"/>
                <w:between w:val="nil"/>
              </w:pBdr>
              <w:spacing w:line="276" w:lineRule="auto"/>
              <w:jc w:val="right"/>
              <w:rPr>
                <w:rFonts w:ascii="Arial" w:eastAsia="Arial" w:hAnsi="Arial" w:cs="Arial"/>
                <w:color w:val="000000"/>
                <w:sz w:val="24"/>
                <w:szCs w:val="24"/>
              </w:rPr>
            </w:pPr>
            <w:r>
              <w:rPr>
                <w:rFonts w:ascii="Arial" w:eastAsia="Arial" w:hAnsi="Arial" w:cs="Arial"/>
                <w:b/>
                <w:color w:val="FFFFFF"/>
                <w:sz w:val="24"/>
                <w:szCs w:val="24"/>
              </w:rPr>
              <w:t>GRAND TOTAL</w:t>
            </w:r>
          </w:p>
        </w:tc>
        <w:tc>
          <w:tcPr>
            <w:tcW w:w="1404"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4FC54402" w14:textId="77777777" w:rsidR="00AB6011" w:rsidRDefault="00AB6011" w:rsidP="00667929">
            <w:pPr>
              <w:spacing w:line="276" w:lineRule="auto"/>
              <w:rPr>
                <w:rFonts w:ascii="Arial" w:eastAsia="Arial" w:hAnsi="Arial" w:cs="Arial"/>
              </w:rPr>
            </w:pPr>
          </w:p>
        </w:tc>
        <w:tc>
          <w:tcPr>
            <w:tcW w:w="2169"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5DCEE833" w14:textId="77777777" w:rsidR="00AB6011" w:rsidRDefault="00AB6011" w:rsidP="00667929">
            <w:pPr>
              <w:spacing w:line="276" w:lineRule="auto"/>
              <w:rPr>
                <w:rFonts w:ascii="Arial" w:eastAsia="Arial" w:hAnsi="Arial" w:cs="Arial"/>
              </w:rPr>
            </w:pPr>
          </w:p>
        </w:tc>
      </w:tr>
    </w:tbl>
    <w:p w14:paraId="01D97DD4" w14:textId="77777777" w:rsidR="00AB6011" w:rsidRDefault="00AB6011" w:rsidP="00AB6011">
      <w:pPr>
        <w:spacing w:line="276" w:lineRule="auto"/>
        <w:rPr>
          <w:rFonts w:ascii="Arial" w:eastAsia="Arial" w:hAnsi="Arial" w:cs="Arial"/>
        </w:rPr>
      </w:pPr>
    </w:p>
    <w:p w14:paraId="0FBCCD57" w14:textId="77777777" w:rsidR="00AB6011" w:rsidRDefault="00AB6011" w:rsidP="00AB601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References</w:t>
      </w:r>
    </w:p>
    <w:p w14:paraId="591E333C" w14:textId="77777777" w:rsidR="00AB6011" w:rsidRPr="00D873ED" w:rsidRDefault="00AB6011" w:rsidP="00AB6011">
      <w:pPr>
        <w:spacing w:line="276" w:lineRule="auto"/>
        <w:jc w:val="both"/>
        <w:rPr>
          <w:rFonts w:ascii="Arial" w:eastAsia="Arial" w:hAnsi="Arial" w:cs="Arial"/>
          <w:color w:val="7030A0"/>
          <w:sz w:val="20"/>
          <w:szCs w:val="20"/>
        </w:rPr>
      </w:pPr>
    </w:p>
    <w:p w14:paraId="76A07137" w14:textId="77777777" w:rsidR="00AB6011" w:rsidRDefault="00AB6011" w:rsidP="00AB6011">
      <w:pPr>
        <w:widowControl/>
        <w:numPr>
          <w:ilvl w:val="0"/>
          <w:numId w:val="9"/>
        </w:numPr>
        <w:pBdr>
          <w:top w:val="nil"/>
          <w:left w:val="nil"/>
          <w:bottom w:val="nil"/>
          <w:right w:val="nil"/>
          <w:between w:val="nil"/>
        </w:pBd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AO 011 series of 2020 Revised DOST-GIA Guidelines and AO 017 series of 2021 Amendments to the DOST AO No. 11 Series of 2020 DOST-GIA Guidelines</w:t>
      </w:r>
    </w:p>
    <w:p w14:paraId="042444D1" w14:textId="77777777" w:rsidR="00AB6011" w:rsidRDefault="00AB6011" w:rsidP="00AB6011">
      <w:pPr>
        <w:widowControl/>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color w:val="000000"/>
          <w:sz w:val="20"/>
          <w:szCs w:val="20"/>
        </w:rPr>
        <w:t>https://dpmis.dost.gov.ph/index.php/transparency/downloads/category/6-dost-administrative-order</w:t>
      </w:r>
    </w:p>
    <w:p w14:paraId="7E70C6E3" w14:textId="77777777" w:rsidR="00AB6011" w:rsidRDefault="00AB6011" w:rsidP="00AB6011">
      <w:pPr>
        <w:widowControl/>
        <w:numPr>
          <w:ilvl w:val="0"/>
          <w:numId w:val="10"/>
        </w:numPr>
        <w:pBdr>
          <w:top w:val="nil"/>
          <w:left w:val="nil"/>
          <w:bottom w:val="nil"/>
          <w:right w:val="nil"/>
          <w:between w:val="nil"/>
        </w:pBdr>
        <w:spacing w:line="276" w:lineRule="auto"/>
        <w:jc w:val="both"/>
        <w:rPr>
          <w:rFonts w:ascii="Arial" w:eastAsia="Arial" w:hAnsi="Arial" w:cs="Arial"/>
          <w:b/>
          <w:color w:val="000000"/>
          <w:sz w:val="20"/>
          <w:szCs w:val="20"/>
        </w:rPr>
      </w:pPr>
      <w:r>
        <w:rPr>
          <w:rFonts w:ascii="Arial" w:eastAsia="Arial" w:hAnsi="Arial" w:cs="Arial"/>
          <w:b/>
          <w:color w:val="000000"/>
          <w:sz w:val="20"/>
          <w:szCs w:val="20"/>
        </w:rPr>
        <w:t>2022 Salary rates for DOST-GIA Personnel</w:t>
      </w:r>
    </w:p>
    <w:p w14:paraId="478ADED0" w14:textId="77777777" w:rsidR="00AB6011" w:rsidRDefault="00AB6011" w:rsidP="00AB6011">
      <w:pPr>
        <w:widowControl/>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color w:val="000000"/>
          <w:sz w:val="20"/>
          <w:szCs w:val="20"/>
        </w:rPr>
        <w:t>https://dpmis.dost.gov.ph/index.php/transparency/downloads/category/1-dost-so</w:t>
      </w:r>
    </w:p>
    <w:p w14:paraId="35929E37" w14:textId="77777777" w:rsidR="00AB6011" w:rsidRDefault="00AB6011" w:rsidP="00AB6011">
      <w:pPr>
        <w:widowControl/>
        <w:numPr>
          <w:ilvl w:val="0"/>
          <w:numId w:val="11"/>
        </w:numPr>
        <w:pBdr>
          <w:top w:val="nil"/>
          <w:left w:val="nil"/>
          <w:bottom w:val="nil"/>
          <w:right w:val="nil"/>
          <w:between w:val="nil"/>
        </w:pBdr>
        <w:spacing w:line="276" w:lineRule="auto"/>
        <w:jc w:val="both"/>
        <w:rPr>
          <w:rFonts w:ascii="Arial" w:eastAsia="Arial" w:hAnsi="Arial" w:cs="Arial"/>
          <w:b/>
          <w:color w:val="000000"/>
          <w:sz w:val="20"/>
          <w:szCs w:val="20"/>
        </w:rPr>
      </w:pPr>
      <w:r>
        <w:rPr>
          <w:rFonts w:ascii="Arial" w:eastAsia="Arial" w:hAnsi="Arial" w:cs="Arial"/>
          <w:b/>
          <w:color w:val="000000"/>
          <w:sz w:val="20"/>
          <w:szCs w:val="20"/>
        </w:rPr>
        <w:t>Honoraria Rates</w:t>
      </w:r>
    </w:p>
    <w:p w14:paraId="54CC76DA" w14:textId="77777777" w:rsidR="00AB6011" w:rsidRDefault="00AB6011" w:rsidP="00AB6011">
      <w:pPr>
        <w:widowControl/>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color w:val="000000"/>
          <w:sz w:val="20"/>
          <w:szCs w:val="20"/>
        </w:rPr>
        <w:t>https://pcieerd.dost.gov.ph/images/dost_gia_guidelines/MC_001_Series_of_2009.pdf</w:t>
      </w:r>
    </w:p>
    <w:p w14:paraId="42F85EFD" w14:textId="798CB825" w:rsidR="00AB6011" w:rsidRDefault="00AB6011"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268160E0" w14:textId="4C6E278C"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38F00C36" w14:textId="6C115219"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6F878B28" w14:textId="3DF263F5"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16F19389" w14:textId="4CB5A6F7"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6FD33469" w14:textId="148E8274"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3A2F5B9B" w14:textId="45DA1D61"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5BA5E46F" w14:textId="77777777" w:rsidR="00D873ED" w:rsidRDefault="00D873ED" w:rsidP="00AB6011">
      <w:pPr>
        <w:widowControl/>
        <w:pBdr>
          <w:top w:val="nil"/>
          <w:left w:val="nil"/>
          <w:bottom w:val="nil"/>
          <w:right w:val="nil"/>
          <w:between w:val="nil"/>
        </w:pBdr>
        <w:spacing w:line="276" w:lineRule="auto"/>
        <w:jc w:val="both"/>
        <w:rPr>
          <w:rFonts w:ascii="Arial" w:eastAsia="Arial" w:hAnsi="Arial" w:cs="Arial"/>
          <w:b/>
          <w:color w:val="000000"/>
          <w:sz w:val="20"/>
          <w:szCs w:val="20"/>
        </w:rPr>
      </w:pPr>
    </w:p>
    <w:p w14:paraId="4D60E8ED" w14:textId="77777777" w:rsidR="00AB6011" w:rsidRDefault="00AB6011" w:rsidP="00AB601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lastRenderedPageBreak/>
        <w:t>Definition of Major Expense Items</w:t>
      </w:r>
    </w:p>
    <w:p w14:paraId="19D49DD9" w14:textId="77777777" w:rsidR="00AB6011" w:rsidRDefault="00AB6011" w:rsidP="00D873ED">
      <w:pPr>
        <w:jc w:val="both"/>
        <w:rPr>
          <w:rFonts w:ascii="Arial" w:eastAsia="Arial" w:hAnsi="Arial" w:cs="Arial"/>
        </w:rPr>
      </w:pPr>
    </w:p>
    <w:p w14:paraId="0CB847D4" w14:textId="06395A22" w:rsidR="00AB6011" w:rsidRDefault="00AB6011" w:rsidP="00D873ED">
      <w:pPr>
        <w:widowControl/>
        <w:numPr>
          <w:ilvl w:val="0"/>
          <w:numId w:val="2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Personnel Services (PS)</w:t>
      </w:r>
      <w:r>
        <w:rPr>
          <w:rFonts w:ascii="Arial" w:eastAsia="Arial" w:hAnsi="Arial" w:cs="Arial"/>
          <w:color w:val="000000"/>
          <w:sz w:val="20"/>
          <w:szCs w:val="20"/>
        </w:rPr>
        <w:t xml:space="preserve"> includes salaries and wages, honoraria, fees, and other compensation to consultants and specialists.</w:t>
      </w:r>
    </w:p>
    <w:p w14:paraId="61437BBA" w14:textId="77777777" w:rsidR="00D873ED" w:rsidRDefault="00D873ED" w:rsidP="00D873ED">
      <w:pPr>
        <w:widowControl/>
        <w:pBdr>
          <w:top w:val="nil"/>
          <w:left w:val="nil"/>
          <w:bottom w:val="nil"/>
          <w:right w:val="nil"/>
          <w:between w:val="nil"/>
        </w:pBdr>
        <w:ind w:left="720"/>
        <w:jc w:val="both"/>
        <w:rPr>
          <w:rFonts w:ascii="Arial" w:eastAsia="Arial" w:hAnsi="Arial" w:cs="Arial"/>
          <w:color w:val="000000"/>
          <w:sz w:val="20"/>
          <w:szCs w:val="20"/>
        </w:rPr>
      </w:pPr>
    </w:p>
    <w:p w14:paraId="14A85A1F" w14:textId="77777777" w:rsidR="00AB6011" w:rsidRDefault="00AB6011" w:rsidP="00D873ED">
      <w:pPr>
        <w:widowControl/>
        <w:numPr>
          <w:ilvl w:val="0"/>
          <w:numId w:val="2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Maintenance and Other Operating Expenses (MOOE</w:t>
      </w:r>
      <w:r>
        <w:rPr>
          <w:rFonts w:ascii="Arial" w:eastAsia="Arial" w:hAnsi="Arial" w:cs="Arial"/>
          <w:color w:val="000000"/>
          <w:sz w:val="20"/>
          <w:szCs w:val="20"/>
        </w:rPr>
        <w:t>) shall be in accordance with the Philippine Government Accounting Manual (GAM) and shall be broken down/itemized as follows:</w:t>
      </w:r>
    </w:p>
    <w:p w14:paraId="19962364" w14:textId="77777777" w:rsidR="00AB6011" w:rsidRPr="00D873ED" w:rsidRDefault="00AB6011" w:rsidP="00D873ED">
      <w:pPr>
        <w:jc w:val="both"/>
        <w:rPr>
          <w:rFonts w:ascii="Arial" w:eastAsia="Arial" w:hAnsi="Arial" w:cs="Arial"/>
          <w:sz w:val="20"/>
          <w:szCs w:val="20"/>
        </w:rPr>
      </w:pPr>
    </w:p>
    <w:p w14:paraId="2FD87BC9" w14:textId="77777777" w:rsidR="00AB6011" w:rsidRDefault="00AB6011" w:rsidP="00D873ED">
      <w:pPr>
        <w:widowControl/>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Traveling Expenses</w:t>
      </w:r>
      <w:r>
        <w:rPr>
          <w:rFonts w:ascii="Arial" w:eastAsia="Arial" w:hAnsi="Arial" w:cs="Arial"/>
          <w:color w:val="000000"/>
          <w:sz w:val="20"/>
          <w:szCs w:val="20"/>
        </w:rPr>
        <w:t xml:space="preserve"> costs of: (1) movement of persons locally and abroad, such as transportation, travel insurance for researchers exposed to hazard/risks, subsistence, lodging and travel allowances, fees for guides or patrol; (2) transportation of personal baggage or household effects; (3) bus, railroad, airline, and ship fares, trips, transfers, etc. of persons while traveling; (4) charter of boats, launches, automobiles, etc. non-commutable transportation allowances, road tolls; and (5) parking fees and similar reasonable expenses. For foreign travel, include the name(s), designation of program/project personnel who will travel, possible country of destination, purpose, and duration of the travel.</w:t>
      </w:r>
    </w:p>
    <w:p w14:paraId="1F119A4D" w14:textId="77777777" w:rsidR="00AB6011" w:rsidRPr="00D873ED" w:rsidRDefault="00AB6011" w:rsidP="00D873ED">
      <w:pPr>
        <w:jc w:val="both"/>
        <w:rPr>
          <w:rFonts w:ascii="Arial" w:eastAsia="Arial" w:hAnsi="Arial" w:cs="Arial"/>
          <w:sz w:val="20"/>
          <w:szCs w:val="20"/>
        </w:rPr>
      </w:pPr>
    </w:p>
    <w:p w14:paraId="01592C01" w14:textId="77777777" w:rsidR="00AB6011" w:rsidRDefault="00AB6011" w:rsidP="00D873ED">
      <w:pPr>
        <w:widowControl/>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Communication Expenses</w:t>
      </w:r>
      <w:r>
        <w:rPr>
          <w:rFonts w:ascii="Arial" w:eastAsia="Arial" w:hAnsi="Arial" w:cs="Arial"/>
          <w:color w:val="000000"/>
          <w:sz w:val="20"/>
          <w:szCs w:val="20"/>
        </w:rPr>
        <w:t xml:space="preserve"> include costs of telephone, telegraph, mobile/wireless and tolls, fax transmission, postage and delivery charges, data communication services, internet expenses, cable, satellite, radio, and telegraph messenger services, among others.</w:t>
      </w:r>
      <w:r>
        <w:rPr>
          <w:rFonts w:ascii="Arial" w:eastAsia="Arial" w:hAnsi="Arial" w:cs="Arial"/>
          <w:color w:val="000000"/>
          <w:sz w:val="24"/>
          <w:szCs w:val="24"/>
        </w:rPr>
        <w:br/>
      </w:r>
    </w:p>
    <w:p w14:paraId="54F9E666" w14:textId="77777777" w:rsidR="00AB6011" w:rsidRDefault="00AB6011" w:rsidP="00D873ED">
      <w:pPr>
        <w:widowControl/>
        <w:numPr>
          <w:ilvl w:val="0"/>
          <w:numId w:val="2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Repair and Maintenance of Facilities</w:t>
      </w:r>
      <w:r>
        <w:rPr>
          <w:rFonts w:ascii="Arial" w:eastAsia="Arial" w:hAnsi="Arial" w:cs="Arial"/>
          <w:color w:val="000000"/>
          <w:sz w:val="20"/>
          <w:szCs w:val="20"/>
        </w:rPr>
        <w:t xml:space="preserve"> include costs of repair and maintenance of office equipment, furniture and fixtures, machinery and equipment, IT equipment and software, building, office and laboratory facilities, and other S&amp;T structures directly needed by the project.</w:t>
      </w:r>
      <w:r>
        <w:rPr>
          <w:rFonts w:ascii="Arial" w:eastAsia="Arial" w:hAnsi="Arial" w:cs="Arial"/>
          <w:color w:val="000000"/>
          <w:sz w:val="24"/>
          <w:szCs w:val="24"/>
        </w:rPr>
        <w:br/>
      </w:r>
    </w:p>
    <w:p w14:paraId="1208AE33" w14:textId="77777777" w:rsidR="00AB6011" w:rsidRDefault="00AB6011" w:rsidP="00D873ED">
      <w:pPr>
        <w:widowControl/>
        <w:numPr>
          <w:ilvl w:val="0"/>
          <w:numId w:val="12"/>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Repair and Maintenance of Vehicles</w:t>
      </w:r>
      <w:r>
        <w:rPr>
          <w:rFonts w:ascii="Arial" w:eastAsia="Arial" w:hAnsi="Arial" w:cs="Arial"/>
          <w:color w:val="000000"/>
          <w:sz w:val="20"/>
          <w:szCs w:val="20"/>
        </w:rPr>
        <w:t xml:space="preserve"> include costs of repair and maintenance of vehicles directly needed by the project except for cost of spare parts, gasoline and oil that shall fall under Supplies and Materials.</w:t>
      </w:r>
    </w:p>
    <w:p w14:paraId="720FA2FB" w14:textId="77777777" w:rsidR="00AB6011" w:rsidRPr="00D873ED" w:rsidRDefault="00AB6011" w:rsidP="00D873ED">
      <w:pPr>
        <w:jc w:val="both"/>
        <w:rPr>
          <w:rFonts w:ascii="Arial" w:eastAsia="Arial" w:hAnsi="Arial" w:cs="Arial"/>
          <w:sz w:val="20"/>
          <w:szCs w:val="20"/>
        </w:rPr>
      </w:pPr>
    </w:p>
    <w:p w14:paraId="5CEC69D3" w14:textId="77777777" w:rsidR="00AB6011" w:rsidRDefault="00AB6011" w:rsidP="00D873ED">
      <w:pPr>
        <w:widowControl/>
        <w:numPr>
          <w:ilvl w:val="0"/>
          <w:numId w:val="13"/>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Transportation and Delivery Services</w:t>
      </w:r>
      <w:r>
        <w:rPr>
          <w:rFonts w:ascii="Arial" w:eastAsia="Arial" w:hAnsi="Arial" w:cs="Arial"/>
          <w:color w:val="000000"/>
          <w:sz w:val="20"/>
          <w:szCs w:val="20"/>
        </w:rPr>
        <w:t xml:space="preserve"> include the costs of commercial transportation of mail, hauling of equipment or materials, including porterage, if any. Not included in this account are costs of transportation of equipment, supplies and materials purchased for operation. Instead, these costs shall be included as part of the cost of the equipment/ supplies and materials.</w:t>
      </w:r>
    </w:p>
    <w:p w14:paraId="74A49A31" w14:textId="77777777" w:rsidR="00AB6011" w:rsidRPr="00D873ED" w:rsidRDefault="00AB6011" w:rsidP="00D873ED">
      <w:pPr>
        <w:jc w:val="both"/>
        <w:rPr>
          <w:rFonts w:ascii="Arial" w:eastAsia="Arial" w:hAnsi="Arial" w:cs="Arial"/>
          <w:sz w:val="20"/>
          <w:szCs w:val="20"/>
        </w:rPr>
      </w:pPr>
    </w:p>
    <w:p w14:paraId="69BC4222" w14:textId="77777777" w:rsidR="00AB6011" w:rsidRDefault="00AB6011" w:rsidP="00D873ED">
      <w:pPr>
        <w:widowControl/>
        <w:numPr>
          <w:ilvl w:val="0"/>
          <w:numId w:val="14"/>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Supplies and Materials</w:t>
      </w:r>
      <w:r>
        <w:rPr>
          <w:rFonts w:ascii="Arial" w:eastAsia="Arial" w:hAnsi="Arial" w:cs="Arial"/>
          <w:color w:val="000000"/>
          <w:sz w:val="20"/>
          <w:szCs w:val="20"/>
        </w:rPr>
        <w:t xml:space="preserve"> include costs of items to be used in specialized S&amp;T work (e.g., office supplies, accountable forms, zoological supplies, food supplies, drugs and medicine, laboratory supplies, gasoline, oil and lubricants, agricultural supplies, textbooks/instructional materials, and other supplies). It also includes all expendable commodities (delivery cost included as needed/required) acquired or ordered for use in connection with project implementation such as spare parts, fuel, and oil.</w:t>
      </w:r>
    </w:p>
    <w:p w14:paraId="764207C3" w14:textId="77777777" w:rsidR="00AB6011" w:rsidRPr="00D873ED" w:rsidRDefault="00AB6011" w:rsidP="00D873ED">
      <w:pPr>
        <w:jc w:val="both"/>
        <w:rPr>
          <w:rFonts w:ascii="Arial" w:eastAsia="Arial" w:hAnsi="Arial" w:cs="Arial"/>
          <w:sz w:val="20"/>
          <w:szCs w:val="20"/>
        </w:rPr>
      </w:pPr>
    </w:p>
    <w:p w14:paraId="5E30B5E1" w14:textId="77777777" w:rsidR="00AB6011" w:rsidRDefault="00AB6011" w:rsidP="00D873ED">
      <w:pPr>
        <w:widowControl/>
        <w:numPr>
          <w:ilvl w:val="0"/>
          <w:numId w:val="15"/>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Utilities</w:t>
      </w:r>
      <w:r>
        <w:rPr>
          <w:rFonts w:ascii="Arial" w:eastAsia="Arial" w:hAnsi="Arial" w:cs="Arial"/>
          <w:color w:val="000000"/>
          <w:sz w:val="20"/>
          <w:szCs w:val="20"/>
        </w:rPr>
        <w:t xml:space="preserve"> include costs of water, electricity or cooking fuel consumed by the implementing agency directly related to the project.</w:t>
      </w:r>
    </w:p>
    <w:p w14:paraId="0DBE6444" w14:textId="77777777" w:rsidR="00AB6011" w:rsidRPr="00D873ED" w:rsidRDefault="00AB6011" w:rsidP="00D873ED">
      <w:pPr>
        <w:jc w:val="both"/>
        <w:rPr>
          <w:rFonts w:ascii="Arial" w:eastAsia="Arial" w:hAnsi="Arial" w:cs="Arial"/>
          <w:sz w:val="20"/>
          <w:szCs w:val="20"/>
        </w:rPr>
      </w:pPr>
    </w:p>
    <w:p w14:paraId="4C904546" w14:textId="073F5726" w:rsidR="00AB6011" w:rsidRPr="00D873ED" w:rsidRDefault="00AB6011" w:rsidP="00D873ED">
      <w:pPr>
        <w:widowControl/>
        <w:numPr>
          <w:ilvl w:val="0"/>
          <w:numId w:val="16"/>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Training and Scholarship Expenses</w:t>
      </w:r>
      <w:r>
        <w:rPr>
          <w:rFonts w:ascii="Arial" w:eastAsia="Arial" w:hAnsi="Arial" w:cs="Arial"/>
          <w:color w:val="000000"/>
          <w:sz w:val="20"/>
          <w:szCs w:val="20"/>
        </w:rPr>
        <w:t xml:space="preserve"> include training fees and other expenses, and scholarship expenses such as tuition fees, stipends, book allowance, and other benefits.</w:t>
      </w:r>
      <w:r w:rsidRPr="00D873ED">
        <w:rPr>
          <w:rFonts w:ascii="Arial" w:eastAsia="Arial" w:hAnsi="Arial" w:cs="Arial"/>
        </w:rPr>
        <w:br/>
      </w:r>
    </w:p>
    <w:p w14:paraId="55BE6858" w14:textId="77777777" w:rsidR="00AB6011" w:rsidRDefault="00AB6011" w:rsidP="00D873ED">
      <w:pPr>
        <w:widowControl/>
        <w:numPr>
          <w:ilvl w:val="0"/>
          <w:numId w:val="17"/>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Advertising Expenses</w:t>
      </w:r>
      <w:r>
        <w:rPr>
          <w:rFonts w:ascii="Arial" w:eastAsia="Arial" w:hAnsi="Arial" w:cs="Arial"/>
          <w:color w:val="000000"/>
          <w:sz w:val="20"/>
          <w:szCs w:val="20"/>
        </w:rPr>
        <w:t xml:space="preserve"> include costs of authorized advertising and publication of notices in newspapers and magazines of general circulation, television, radio, and other forms of media necessary for the implementation of the project.</w:t>
      </w:r>
    </w:p>
    <w:p w14:paraId="04B5D09D" w14:textId="77777777" w:rsidR="00AB6011" w:rsidRDefault="00AB6011" w:rsidP="00D873ED">
      <w:pPr>
        <w:jc w:val="both"/>
        <w:rPr>
          <w:rFonts w:ascii="Arial" w:eastAsia="Arial" w:hAnsi="Arial" w:cs="Arial"/>
          <w:sz w:val="24"/>
          <w:szCs w:val="24"/>
        </w:rPr>
      </w:pPr>
    </w:p>
    <w:p w14:paraId="4E10C5F1" w14:textId="77777777" w:rsidR="00AB6011" w:rsidRDefault="00AB6011" w:rsidP="00D873ED">
      <w:pPr>
        <w:widowControl/>
        <w:numPr>
          <w:ilvl w:val="0"/>
          <w:numId w:val="18"/>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lastRenderedPageBreak/>
        <w:t>Printing and Publication Expenses</w:t>
      </w:r>
      <w:r>
        <w:rPr>
          <w:rFonts w:ascii="Arial" w:eastAsia="Arial" w:hAnsi="Arial" w:cs="Arial"/>
          <w:color w:val="000000"/>
          <w:sz w:val="20"/>
          <w:szCs w:val="20"/>
        </w:rPr>
        <w:t xml:space="preserve"> include costs of producing, printing, and binding materials such as books, reports, catalogs, documents, and other reading materials necessary for the implementation of the project.</w:t>
      </w:r>
    </w:p>
    <w:p w14:paraId="74867D26" w14:textId="77777777" w:rsidR="00AB6011" w:rsidRPr="00D873ED" w:rsidRDefault="00AB6011" w:rsidP="00D873ED">
      <w:pPr>
        <w:jc w:val="both"/>
        <w:rPr>
          <w:rFonts w:ascii="Arial" w:eastAsia="Arial" w:hAnsi="Arial" w:cs="Arial"/>
          <w:sz w:val="20"/>
          <w:szCs w:val="20"/>
        </w:rPr>
      </w:pPr>
    </w:p>
    <w:p w14:paraId="667C0966" w14:textId="77777777" w:rsidR="00AB6011" w:rsidRDefault="00AB6011" w:rsidP="00D873ED">
      <w:pPr>
        <w:widowControl/>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Rent Expenses</w:t>
      </w:r>
      <w:r>
        <w:rPr>
          <w:rFonts w:ascii="Arial" w:eastAsia="Arial" w:hAnsi="Arial" w:cs="Arial"/>
          <w:color w:val="000000"/>
          <w:sz w:val="20"/>
          <w:szCs w:val="20"/>
        </w:rPr>
        <w:t xml:space="preserve"> rental fees for the use of facilities, equipment, and vehicles directly used in the implementation of the project.</w:t>
      </w:r>
    </w:p>
    <w:p w14:paraId="3F816BCA" w14:textId="77777777" w:rsidR="00AB6011" w:rsidRPr="00D873ED" w:rsidRDefault="00AB6011" w:rsidP="00D873ED">
      <w:pPr>
        <w:jc w:val="both"/>
        <w:rPr>
          <w:rFonts w:ascii="Arial" w:eastAsia="Arial" w:hAnsi="Arial" w:cs="Arial"/>
          <w:sz w:val="20"/>
          <w:szCs w:val="20"/>
        </w:rPr>
      </w:pPr>
    </w:p>
    <w:p w14:paraId="63110723" w14:textId="77777777" w:rsidR="00AB6011" w:rsidRDefault="00AB6011" w:rsidP="00D873ED">
      <w:pPr>
        <w:widowControl/>
        <w:numPr>
          <w:ilvl w:val="0"/>
          <w:numId w:val="5"/>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Representation Expenses</w:t>
      </w:r>
      <w:r>
        <w:rPr>
          <w:rFonts w:ascii="Arial" w:eastAsia="Arial" w:hAnsi="Arial" w:cs="Arial"/>
          <w:color w:val="000000"/>
          <w:sz w:val="20"/>
          <w:szCs w:val="20"/>
        </w:rPr>
        <w:t xml:space="preserve"> include costs of meal/ food for the conduct of workshops/meetings, conferences, and other official functions related to the project.</w:t>
      </w:r>
    </w:p>
    <w:p w14:paraId="1F4BB2FE" w14:textId="77777777" w:rsidR="00AB6011" w:rsidRPr="00D873ED" w:rsidRDefault="00AB6011" w:rsidP="00D873ED">
      <w:pPr>
        <w:jc w:val="both"/>
        <w:rPr>
          <w:rFonts w:ascii="Arial" w:eastAsia="Arial" w:hAnsi="Arial" w:cs="Arial"/>
          <w:sz w:val="20"/>
          <w:szCs w:val="20"/>
        </w:rPr>
      </w:pPr>
    </w:p>
    <w:p w14:paraId="361E759E" w14:textId="77777777" w:rsidR="00AB6011" w:rsidRDefault="00AB6011" w:rsidP="00D873ED">
      <w:pPr>
        <w:widowControl/>
        <w:numPr>
          <w:ilvl w:val="0"/>
          <w:numId w:val="6"/>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Subscription Expenses</w:t>
      </w:r>
      <w:r>
        <w:rPr>
          <w:rFonts w:ascii="Arial" w:eastAsia="Arial" w:hAnsi="Arial" w:cs="Arial"/>
          <w:color w:val="000000"/>
          <w:sz w:val="20"/>
          <w:szCs w:val="20"/>
        </w:rPr>
        <w:t xml:space="preserve"> include costs of subscription to library materials, such as magazines, periodicals, other reading materials and software (including online software) necessary for the implementation of the project. </w:t>
      </w:r>
    </w:p>
    <w:p w14:paraId="499302D8" w14:textId="77777777" w:rsidR="00AB6011" w:rsidRPr="00D873ED" w:rsidRDefault="00AB6011" w:rsidP="00D873ED">
      <w:pPr>
        <w:jc w:val="both"/>
        <w:rPr>
          <w:rFonts w:ascii="Arial" w:eastAsia="Arial" w:hAnsi="Arial" w:cs="Arial"/>
          <w:sz w:val="20"/>
          <w:szCs w:val="20"/>
        </w:rPr>
      </w:pPr>
    </w:p>
    <w:p w14:paraId="27E0E725" w14:textId="77777777" w:rsidR="00AB6011" w:rsidRDefault="00AB6011" w:rsidP="00D873ED">
      <w:pPr>
        <w:widowControl/>
        <w:numPr>
          <w:ilvl w:val="0"/>
          <w:numId w:val="7"/>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Survey Expenses</w:t>
      </w:r>
      <w:r>
        <w:rPr>
          <w:rFonts w:ascii="Arial" w:eastAsia="Arial" w:hAnsi="Arial" w:cs="Arial"/>
          <w:color w:val="000000"/>
          <w:sz w:val="20"/>
          <w:szCs w:val="20"/>
        </w:rPr>
        <w:t xml:space="preserve"> include costs incurred in the conduct of surveys related to the project.</w:t>
      </w:r>
    </w:p>
    <w:p w14:paraId="7A1045A3" w14:textId="77777777" w:rsidR="00AB6011" w:rsidRPr="00D873ED" w:rsidRDefault="00AB6011" w:rsidP="00D873ED">
      <w:pPr>
        <w:jc w:val="both"/>
        <w:rPr>
          <w:rFonts w:ascii="Arial" w:eastAsia="Arial" w:hAnsi="Arial" w:cs="Arial"/>
          <w:sz w:val="20"/>
          <w:szCs w:val="20"/>
        </w:rPr>
      </w:pPr>
    </w:p>
    <w:p w14:paraId="5D4C7E31" w14:textId="77777777" w:rsidR="00AB6011" w:rsidRDefault="00AB6011" w:rsidP="00D873ED">
      <w:pPr>
        <w:widowControl/>
        <w:numPr>
          <w:ilvl w:val="0"/>
          <w:numId w:val="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Professional Services</w:t>
      </w:r>
      <w:r>
        <w:rPr>
          <w:rFonts w:ascii="Arial" w:eastAsia="Arial" w:hAnsi="Arial" w:cs="Arial"/>
          <w:color w:val="000000"/>
          <w:sz w:val="20"/>
          <w:szCs w:val="20"/>
        </w:rPr>
        <w:t xml:space="preserve"> as defined in GAM, but only those items that are relevant and appropriate to the proposed program/ project.</w:t>
      </w:r>
    </w:p>
    <w:p w14:paraId="5A9200EE" w14:textId="77777777" w:rsidR="00AB6011" w:rsidRPr="00D873ED" w:rsidRDefault="00AB6011" w:rsidP="00D873ED">
      <w:pPr>
        <w:jc w:val="both"/>
        <w:rPr>
          <w:rFonts w:ascii="Arial" w:eastAsia="Arial" w:hAnsi="Arial" w:cs="Arial"/>
          <w:sz w:val="20"/>
          <w:szCs w:val="20"/>
        </w:rPr>
      </w:pPr>
    </w:p>
    <w:p w14:paraId="2E3A9037" w14:textId="77777777" w:rsidR="00AB6011" w:rsidRDefault="00AB6011" w:rsidP="00D873ED">
      <w:pPr>
        <w:widowControl/>
        <w:numPr>
          <w:ilvl w:val="0"/>
          <w:numId w:val="2"/>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Taxes, Insurance Premiums and Other Fees</w:t>
      </w:r>
      <w:r>
        <w:rPr>
          <w:rFonts w:ascii="Arial" w:eastAsia="Arial" w:hAnsi="Arial" w:cs="Arial"/>
          <w:color w:val="000000"/>
          <w:sz w:val="20"/>
          <w:szCs w:val="20"/>
        </w:rPr>
        <w:t>- include costs of accident insurance of the project personnel for the performance of duties that involve hazardous activities during project duration, taxes, duties and licenses, fidelity bond premiums, and insurance expenses of equipment acquired under the project.</w:t>
      </w:r>
    </w:p>
    <w:p w14:paraId="17BB5B16" w14:textId="77777777" w:rsidR="00AB6011" w:rsidRPr="00D873ED" w:rsidRDefault="00AB6011" w:rsidP="00D873ED">
      <w:pPr>
        <w:jc w:val="both"/>
        <w:rPr>
          <w:rFonts w:ascii="Arial" w:eastAsia="Arial" w:hAnsi="Arial" w:cs="Arial"/>
          <w:sz w:val="20"/>
          <w:szCs w:val="20"/>
        </w:rPr>
      </w:pPr>
    </w:p>
    <w:p w14:paraId="2B8CF799" w14:textId="77777777" w:rsidR="00D873ED" w:rsidRDefault="00AB6011" w:rsidP="00D873ED">
      <w:pPr>
        <w:widowControl/>
        <w:numPr>
          <w:ilvl w:val="0"/>
          <w:numId w:val="3"/>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Other Maintenance and Operating Expenses</w:t>
      </w:r>
      <w:r>
        <w:rPr>
          <w:rFonts w:ascii="Arial" w:eastAsia="Arial" w:hAnsi="Arial" w:cs="Arial"/>
          <w:color w:val="000000"/>
          <w:sz w:val="20"/>
          <w:szCs w:val="20"/>
        </w:rPr>
        <w:t xml:space="preserve"> additional items not included above such as cost of submission of scientific paper for peer reviewed journals. </w:t>
      </w:r>
    </w:p>
    <w:p w14:paraId="288AC958" w14:textId="0B35D730" w:rsidR="00AB6011" w:rsidRPr="00D873ED" w:rsidRDefault="00AB6011" w:rsidP="00D873ED">
      <w:pPr>
        <w:widowControl/>
        <w:pBdr>
          <w:top w:val="nil"/>
          <w:left w:val="nil"/>
          <w:bottom w:val="nil"/>
          <w:right w:val="nil"/>
          <w:between w:val="nil"/>
        </w:pBdr>
        <w:ind w:left="1440"/>
        <w:jc w:val="both"/>
        <w:rPr>
          <w:rFonts w:ascii="Arial" w:eastAsia="Arial" w:hAnsi="Arial" w:cs="Arial"/>
          <w:color w:val="000000"/>
          <w:sz w:val="20"/>
          <w:szCs w:val="20"/>
        </w:rPr>
      </w:pPr>
      <w:r w:rsidRPr="00D873ED">
        <w:rPr>
          <w:rFonts w:ascii="Arial" w:eastAsia="Arial" w:hAnsi="Arial" w:cs="Arial"/>
        </w:rPr>
        <w:br/>
      </w:r>
    </w:p>
    <w:p w14:paraId="6F5B103B" w14:textId="77777777" w:rsidR="00AB6011" w:rsidRDefault="00AB6011" w:rsidP="00D873ED">
      <w:pPr>
        <w:widowControl/>
        <w:numPr>
          <w:ilvl w:val="0"/>
          <w:numId w:val="2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Capital Outlay (CO)</w:t>
      </w:r>
      <w:r>
        <w:rPr>
          <w:rFonts w:ascii="Arial" w:eastAsia="Arial" w:hAnsi="Arial" w:cs="Arial"/>
          <w:color w:val="000000"/>
          <w:sz w:val="20"/>
          <w:szCs w:val="20"/>
        </w:rPr>
        <w:t xml:space="preserve"> includes all equipment necessary for the implementation of the project, which shall be numerated in the proposed LIB.  This also includes infrastructure that are an integral part of the R&amp;D, which are crucial in the attainment of the project objectives.</w:t>
      </w:r>
      <w:r>
        <w:rPr>
          <w:rFonts w:ascii="Arial" w:eastAsia="Arial" w:hAnsi="Arial" w:cs="Arial"/>
          <w:color w:val="000000"/>
          <w:sz w:val="24"/>
          <w:szCs w:val="24"/>
        </w:rPr>
        <w:tab/>
      </w:r>
    </w:p>
    <w:p w14:paraId="138A8A6B" w14:textId="77777777" w:rsidR="00AB6011" w:rsidRDefault="00AB6011" w:rsidP="00D873ED">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r>
    </w:p>
    <w:p w14:paraId="44ECDC66" w14:textId="77777777" w:rsidR="00AB6011" w:rsidRDefault="00AB6011" w:rsidP="00D873ED">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0"/>
          <w:szCs w:val="20"/>
        </w:rPr>
        <w:t>Counterpart Funding</w:t>
      </w:r>
      <w:r>
        <w:rPr>
          <w:rFonts w:ascii="Arial" w:eastAsia="Arial" w:hAnsi="Arial" w:cs="Arial"/>
          <w:b/>
          <w:color w:val="000000"/>
          <w:sz w:val="24"/>
          <w:szCs w:val="24"/>
        </w:rPr>
        <w:tab/>
      </w:r>
    </w:p>
    <w:p w14:paraId="4DD0115E" w14:textId="77777777" w:rsidR="00AB6011" w:rsidRPr="00D873ED" w:rsidRDefault="00AB6011" w:rsidP="00D873ED">
      <w:pPr>
        <w:widowControl/>
        <w:pBdr>
          <w:top w:val="nil"/>
          <w:left w:val="nil"/>
          <w:bottom w:val="nil"/>
          <w:right w:val="nil"/>
          <w:between w:val="nil"/>
        </w:pBdr>
        <w:jc w:val="both"/>
        <w:rPr>
          <w:rFonts w:ascii="Arial" w:eastAsia="Arial" w:hAnsi="Arial" w:cs="Arial"/>
          <w:color w:val="000000"/>
          <w:sz w:val="20"/>
          <w:szCs w:val="20"/>
        </w:rPr>
      </w:pPr>
    </w:p>
    <w:p w14:paraId="42371498" w14:textId="77777777" w:rsidR="00AB6011" w:rsidRDefault="00AB6011" w:rsidP="00D873ED">
      <w:pPr>
        <w:widowControl/>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counterpart fund, in kind and/or in cash, shall be required from the Implementing Agency.  Projects must have a minimum of 15% counterpart contribution (except for projects involving public good).</w:t>
      </w:r>
    </w:p>
    <w:p w14:paraId="561DF611" w14:textId="77777777" w:rsidR="00AB6011" w:rsidRDefault="00AB6011" w:rsidP="00D873ED">
      <w:pPr>
        <w:widowControl/>
        <w:pBdr>
          <w:top w:val="nil"/>
          <w:left w:val="nil"/>
          <w:bottom w:val="nil"/>
          <w:right w:val="nil"/>
          <w:between w:val="nil"/>
        </w:pBdr>
        <w:ind w:left="720"/>
        <w:jc w:val="both"/>
        <w:rPr>
          <w:rFonts w:ascii="Arial" w:eastAsia="Arial" w:hAnsi="Arial" w:cs="Arial"/>
          <w:color w:val="000000"/>
          <w:sz w:val="20"/>
          <w:szCs w:val="20"/>
        </w:rPr>
      </w:pPr>
    </w:p>
    <w:p w14:paraId="5675C4C3" w14:textId="77777777" w:rsidR="00AB6011" w:rsidRDefault="00AB6011" w:rsidP="00D873ED">
      <w:pPr>
        <w:widowControl/>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Indicate the detailed breakdown of the required fund assistance to indicate the counterpart of the Implementing Agency and other agencies cooperating in the project.</w:t>
      </w:r>
      <w:r>
        <w:rPr>
          <w:rFonts w:ascii="Arial" w:eastAsia="Arial" w:hAnsi="Arial" w:cs="Arial"/>
          <w:color w:val="000000"/>
          <w:sz w:val="24"/>
          <w:szCs w:val="24"/>
        </w:rPr>
        <w:tab/>
      </w:r>
    </w:p>
    <w:p w14:paraId="7F0A5DD4" w14:textId="77777777" w:rsidR="00AB6011" w:rsidRDefault="00AB6011" w:rsidP="00D873ED">
      <w:pPr>
        <w:widowControl/>
        <w:pBdr>
          <w:top w:val="nil"/>
          <w:left w:val="nil"/>
          <w:bottom w:val="nil"/>
          <w:right w:val="nil"/>
          <w:between w:val="nil"/>
        </w:pBdr>
        <w:rPr>
          <w:rFonts w:ascii="Arial" w:eastAsia="Arial" w:hAnsi="Arial" w:cs="Arial"/>
          <w:b/>
          <w:color w:val="381165"/>
          <w:sz w:val="20"/>
          <w:szCs w:val="20"/>
        </w:rPr>
      </w:pPr>
    </w:p>
    <w:p w14:paraId="219E0F3B" w14:textId="1B39BEB1" w:rsidR="00D557C6" w:rsidRPr="00D873ED" w:rsidRDefault="00D557C6" w:rsidP="00D873ED">
      <w:pPr>
        <w:widowControl/>
        <w:rPr>
          <w:rFonts w:ascii="Arial" w:eastAsia="Arial" w:hAnsi="Arial" w:cs="Arial"/>
          <w:b/>
          <w:color w:val="381165"/>
          <w:sz w:val="24"/>
          <w:szCs w:val="24"/>
        </w:rPr>
      </w:pPr>
    </w:p>
    <w:sectPr w:rsidR="00D557C6" w:rsidRPr="00D873ED" w:rsidSect="00D873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E00C" w14:textId="77777777" w:rsidR="00B075FD" w:rsidRDefault="00B075FD" w:rsidP="00D873ED">
      <w:r>
        <w:separator/>
      </w:r>
    </w:p>
  </w:endnote>
  <w:endnote w:type="continuationSeparator" w:id="0">
    <w:p w14:paraId="3904DC12" w14:textId="77777777" w:rsidR="00B075FD" w:rsidRDefault="00B075FD" w:rsidP="00D8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E15E" w14:textId="77777777" w:rsidR="00B075FD" w:rsidRDefault="00B075FD" w:rsidP="00D873ED">
      <w:r>
        <w:separator/>
      </w:r>
    </w:p>
  </w:footnote>
  <w:footnote w:type="continuationSeparator" w:id="0">
    <w:p w14:paraId="22E3CEDD" w14:textId="77777777" w:rsidR="00B075FD" w:rsidRDefault="00B075FD" w:rsidP="00D8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69B"/>
    <w:multiLevelType w:val="multilevel"/>
    <w:tmpl w:val="50C04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0C0B7E"/>
    <w:multiLevelType w:val="multilevel"/>
    <w:tmpl w:val="252427E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104133"/>
    <w:multiLevelType w:val="multilevel"/>
    <w:tmpl w:val="2368A200"/>
    <w:lvl w:ilvl="0">
      <w:start w:val="1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D328D2"/>
    <w:multiLevelType w:val="multilevel"/>
    <w:tmpl w:val="6DA49216"/>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E5F641C"/>
    <w:multiLevelType w:val="multilevel"/>
    <w:tmpl w:val="AB1E34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D96477"/>
    <w:multiLevelType w:val="multilevel"/>
    <w:tmpl w:val="FF22647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9E32E9C"/>
    <w:multiLevelType w:val="multilevel"/>
    <w:tmpl w:val="8F2032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73417AC"/>
    <w:multiLevelType w:val="multilevel"/>
    <w:tmpl w:val="B91260FA"/>
    <w:lvl w:ilvl="0">
      <w:start w:val="1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8455413"/>
    <w:multiLevelType w:val="multilevel"/>
    <w:tmpl w:val="280804C8"/>
    <w:lvl w:ilvl="0">
      <w:start w:val="1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B640D94"/>
    <w:multiLevelType w:val="multilevel"/>
    <w:tmpl w:val="17B6EA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4AB5E74"/>
    <w:multiLevelType w:val="multilevel"/>
    <w:tmpl w:val="C12C345C"/>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E17277"/>
    <w:multiLevelType w:val="multilevel"/>
    <w:tmpl w:val="0540B780"/>
    <w:lvl w:ilvl="0">
      <w:start w:val="1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FE62AF"/>
    <w:multiLevelType w:val="multilevel"/>
    <w:tmpl w:val="4ECA115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B535807"/>
    <w:multiLevelType w:val="multilevel"/>
    <w:tmpl w:val="BA7807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BE77FAF"/>
    <w:multiLevelType w:val="multilevel"/>
    <w:tmpl w:val="44444AA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CC667AA"/>
    <w:multiLevelType w:val="multilevel"/>
    <w:tmpl w:val="68BA20C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E633CD8"/>
    <w:multiLevelType w:val="multilevel"/>
    <w:tmpl w:val="C9B4A1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EC43D8A"/>
    <w:multiLevelType w:val="multilevel"/>
    <w:tmpl w:val="3F669DD8"/>
    <w:lvl w:ilvl="0">
      <w:start w:val="1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99E2F06"/>
    <w:multiLevelType w:val="multilevel"/>
    <w:tmpl w:val="4F24849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FB3697A"/>
    <w:multiLevelType w:val="multilevel"/>
    <w:tmpl w:val="5DCE21E8"/>
    <w:lvl w:ilvl="0">
      <w:start w:val="1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BCB6D85"/>
    <w:multiLevelType w:val="multilevel"/>
    <w:tmpl w:val="BB86BAAE"/>
    <w:lvl w:ilvl="0">
      <w:start w:val="1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C96584"/>
    <w:multiLevelType w:val="multilevel"/>
    <w:tmpl w:val="89EEF0BC"/>
    <w:lvl w:ilvl="0">
      <w:start w:val="11"/>
      <w:numFmt w:val="lowerLetter"/>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8"/>
  </w:num>
  <w:num w:numId="2">
    <w:abstractNumId w:val="19"/>
  </w:num>
  <w:num w:numId="3">
    <w:abstractNumId w:val="2"/>
  </w:num>
  <w:num w:numId="4">
    <w:abstractNumId w:val="16"/>
  </w:num>
  <w:num w:numId="5">
    <w:abstractNumId w:val="7"/>
  </w:num>
  <w:num w:numId="6">
    <w:abstractNumId w:val="11"/>
  </w:num>
  <w:num w:numId="7">
    <w:abstractNumId w:val="17"/>
  </w:num>
  <w:num w:numId="8">
    <w:abstractNumId w:val="9"/>
  </w:num>
  <w:num w:numId="9">
    <w:abstractNumId w:val="6"/>
  </w:num>
  <w:num w:numId="10">
    <w:abstractNumId w:val="4"/>
  </w:num>
  <w:num w:numId="11">
    <w:abstractNumId w:val="0"/>
  </w:num>
  <w:num w:numId="12">
    <w:abstractNumId w:val="12"/>
  </w:num>
  <w:num w:numId="13">
    <w:abstractNumId w:val="14"/>
  </w:num>
  <w:num w:numId="14">
    <w:abstractNumId w:val="15"/>
  </w:num>
  <w:num w:numId="15">
    <w:abstractNumId w:val="1"/>
  </w:num>
  <w:num w:numId="16">
    <w:abstractNumId w:val="3"/>
  </w:num>
  <w:num w:numId="17">
    <w:abstractNumId w:val="10"/>
  </w:num>
  <w:num w:numId="18">
    <w:abstractNumId w:val="20"/>
  </w:num>
  <w:num w:numId="19">
    <w:abstractNumId w:val="21"/>
  </w:num>
  <w:num w:numId="20">
    <w:abstractNumId w:val="18"/>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11"/>
    <w:rsid w:val="00AB6011"/>
    <w:rsid w:val="00B075FD"/>
    <w:rsid w:val="00D557C6"/>
    <w:rsid w:val="00D8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087"/>
  <w15:chartTrackingRefBased/>
  <w15:docId w15:val="{39D3461B-F121-41E5-8252-31F921E0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011"/>
    <w:pPr>
      <w:widowControl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ED"/>
    <w:pPr>
      <w:tabs>
        <w:tab w:val="center" w:pos="4680"/>
        <w:tab w:val="right" w:pos="9360"/>
      </w:tabs>
    </w:pPr>
  </w:style>
  <w:style w:type="character" w:customStyle="1" w:styleId="HeaderChar">
    <w:name w:val="Header Char"/>
    <w:basedOn w:val="DefaultParagraphFont"/>
    <w:link w:val="Header"/>
    <w:uiPriority w:val="99"/>
    <w:rsid w:val="00D873ED"/>
    <w:rPr>
      <w:rFonts w:ascii="Arial MT" w:eastAsia="Arial MT" w:hAnsi="Arial MT" w:cs="Arial MT"/>
    </w:rPr>
  </w:style>
  <w:style w:type="paragraph" w:styleId="Footer">
    <w:name w:val="footer"/>
    <w:basedOn w:val="Normal"/>
    <w:link w:val="FooterChar"/>
    <w:uiPriority w:val="99"/>
    <w:unhideWhenUsed/>
    <w:rsid w:val="00D873ED"/>
    <w:pPr>
      <w:tabs>
        <w:tab w:val="center" w:pos="4680"/>
        <w:tab w:val="right" w:pos="9360"/>
      </w:tabs>
    </w:pPr>
  </w:style>
  <w:style w:type="character" w:customStyle="1" w:styleId="FooterChar">
    <w:name w:val="Footer Char"/>
    <w:basedOn w:val="DefaultParagraphFont"/>
    <w:link w:val="Footer"/>
    <w:uiPriority w:val="99"/>
    <w:rsid w:val="00D873ED"/>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04A8C082-B14F-41A9-8A65-477E83CFBD83}"/>
</file>

<file path=customXml/itemProps2.xml><?xml version="1.0" encoding="utf-8"?>
<ds:datastoreItem xmlns:ds="http://schemas.openxmlformats.org/officeDocument/2006/customXml" ds:itemID="{CBA56F11-1A97-4FE8-B814-25D3FF42F214}"/>
</file>

<file path=customXml/itemProps3.xml><?xml version="1.0" encoding="utf-8"?>
<ds:datastoreItem xmlns:ds="http://schemas.openxmlformats.org/officeDocument/2006/customXml" ds:itemID="{152F867C-7B90-49C4-9E1B-62863F158ACE}"/>
</file>

<file path=docProps/app.xml><?xml version="1.0" encoding="utf-8"?>
<Properties xmlns="http://schemas.openxmlformats.org/officeDocument/2006/extended-properties" xmlns:vt="http://schemas.openxmlformats.org/officeDocument/2006/docPropsVTypes">
  <Template>Normal</Template>
  <TotalTime>3</TotalTime>
  <Pages>5</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2</cp:revision>
  <dcterms:created xsi:type="dcterms:W3CDTF">2022-10-27T00:59:00Z</dcterms:created>
  <dcterms:modified xsi:type="dcterms:W3CDTF">2022-10-27T01:02:00Z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